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黑体_GBK" w:cs="方正黑体_GBK"/>
          <w:sz w:val="32"/>
          <w:szCs w:val="32"/>
        </w:rPr>
      </w:pPr>
      <w:bookmarkStart w:id="0" w:name="_GoBack"/>
      <w:bookmarkEnd w:id="0"/>
      <w:r>
        <w:rPr>
          <w:rFonts w:hint="eastAsia" w:ascii="Times New Roman" w:hAnsi="Times New Roman" w:eastAsia="方正黑体_GBK" w:cs="方正黑体_GBK"/>
          <w:sz w:val="32"/>
          <w:szCs w:val="32"/>
        </w:rPr>
        <w:t>附件1：</w:t>
      </w:r>
    </w:p>
    <w:p>
      <w:pPr>
        <w:spacing w:line="560" w:lineRule="exact"/>
        <w:jc w:val="center"/>
        <w:rPr>
          <w:rFonts w:ascii="Times New Roman" w:hAnsi="Times New Roman" w:eastAsia="方正小标宋_GBK" w:cs="方正仿宋_GBK"/>
          <w:b/>
          <w:bCs/>
          <w:sz w:val="44"/>
          <w:szCs w:val="32"/>
        </w:rPr>
      </w:pPr>
      <w:r>
        <w:rPr>
          <w:rFonts w:hint="eastAsia" w:ascii="Times New Roman" w:hAnsi="Times New Roman" w:eastAsia="方正小标宋_GBK" w:cs="方正仿宋_GBK"/>
          <w:b/>
          <w:bCs/>
          <w:sz w:val="44"/>
          <w:szCs w:val="32"/>
        </w:rPr>
        <w:t>四川电子机械职业技术学院</w:t>
      </w:r>
    </w:p>
    <w:p>
      <w:pPr>
        <w:spacing w:line="560" w:lineRule="exact"/>
        <w:jc w:val="center"/>
        <w:rPr>
          <w:rFonts w:ascii="Times New Roman" w:hAnsi="Times New Roman" w:eastAsia="方正小标宋_GBK" w:cs="方正仿宋_GBK"/>
          <w:b/>
          <w:bCs/>
          <w:color w:val="000000"/>
          <w:sz w:val="44"/>
          <w:szCs w:val="32"/>
        </w:rPr>
      </w:pPr>
      <w:r>
        <w:rPr>
          <w:rFonts w:hint="eastAsia" w:ascii="Times New Roman" w:hAnsi="Times New Roman" w:eastAsia="方正小标宋_GBK" w:cs="方正仿宋_GBK"/>
          <w:b/>
          <w:bCs/>
          <w:sz w:val="44"/>
          <w:szCs w:val="32"/>
        </w:rPr>
        <w:t>“第二课堂成绩单”学分认定及实施办法</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为深入贯彻落实国家《中长期教育改革和发展规划纲要( 2010-2020年）》，加快发展现代职业教育大力培养高素质应用型技能型人才，团中央学校部在全国高校中推行高校共青团“第二课堂成绩单”制度，</w:t>
      </w:r>
      <w:r>
        <w:rPr>
          <w:rFonts w:hint="eastAsia" w:ascii="Times New Roman" w:hAnsi="Times New Roman" w:eastAsia="方正仿宋_GBK" w:cs="方正仿宋_GBK"/>
          <w:color w:val="000000"/>
          <w:sz w:val="32"/>
          <w:szCs w:val="32"/>
        </w:rPr>
        <w:t>为深度融入学校学分制改革，</w:t>
      </w:r>
      <w:r>
        <w:rPr>
          <w:rFonts w:hint="eastAsia" w:ascii="Times New Roman" w:hAnsi="Times New Roman" w:eastAsia="方正仿宋_GBK" w:cs="方正仿宋_GBK"/>
          <w:sz w:val="32"/>
          <w:szCs w:val="32"/>
        </w:rPr>
        <w:t>提高学生人文素养、科学素养和艺术修养，帮助学生提高就业竞争力，特制定《四川电子机械职业技术学院“第二课堂成绩单”学分认定及实施办法》（以下简称《办法》）。</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第一条</w:t>
      </w:r>
      <w:r>
        <w:rPr>
          <w:rFonts w:hint="eastAsia" w:ascii="Times New Roman" w:hAnsi="Times New Roman" w:eastAsia="方正仿宋_GBK" w:cs="方正仿宋_GBK"/>
          <w:sz w:val="32"/>
          <w:szCs w:val="32"/>
        </w:rPr>
        <w:t>《办法》是学校深化学分制改革的重要内容，是对人才培养方案的重要补充和完善。全院学生原则上须完成《办法》规定的“第二课堂成绩单”学分方可毕业，学生毕业时“第二课堂成绩单”盖章后需装入学生档案。</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第二条</w:t>
      </w:r>
      <w:r>
        <w:rPr>
          <w:rFonts w:hint="eastAsia" w:ascii="Times New Roman" w:hAnsi="Times New Roman" w:eastAsia="方正仿宋_GBK" w:cs="方正仿宋_GBK"/>
          <w:sz w:val="32"/>
          <w:szCs w:val="32"/>
        </w:rPr>
        <w:t>《办法》所涉及的“第二课堂成绩单”学分，主要涵盖思想政治、实践实习、志愿公益、创新创业、文艺体育、社会工作、技能培训及其它等八个方面：</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1.“思想政治”模块主要记载学生入党、入团情况，学生参加党校、团校培训经历，学生参加思想引领类活动经历，以及获得的相关荣誉；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2.“实践实习”模块主要记载参与“三下乡”社会实践活动、就业实习、逐梦计划、岗位见习及其它实践活动的经历，以及获得的相关荣誉；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3.“志愿公益”模块主要记载参与“大学生志愿服务西部计划”及各类助残支教、社区服务、公益劳动、赛会服务、海外服务、校园服务等志愿服务活动的经历，以及获得的相关荣誉；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4.“创新创业”模块主要记载参与各级各类学术科技、创新创业竞赛和活动的经历及获得的相关荣誉，以及发表的学术论文、出版的学术专著、取得的技术专利等；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5.“文艺体育”模块主要记载参与各级各类文艺体育活动的经历，以及获得的相关荣誉；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6.“社会工作”模块主要记载在党团学（含学生社团）组织的工作任职履历、在校外的社会工作履历，以及获得的相关荣誉；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7.“技能培训”模块主要记载参加各类技能培训的经历，以及获得的相关荣誉；</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8.“其它”模块主要记载未能被上述内容包括的其它重要经历或成果。</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第三条</w:t>
      </w:r>
      <w:r>
        <w:rPr>
          <w:rFonts w:hint="eastAsia" w:ascii="Times New Roman" w:hAnsi="Times New Roman" w:eastAsia="方正仿宋_GBK" w:cs="方正仿宋_GBK"/>
          <w:sz w:val="32"/>
          <w:szCs w:val="32"/>
        </w:rPr>
        <w:t>《办法》要求在校学生在毕业前原则上须获得4个“第二课堂成绩单”学分。</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第四条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第二课堂成绩单”学分工作领导小组（以下简称领导小组）是学校施行“第二课堂成绩单”学分工作的领导机构，分管学生工作的校领导任组长，教务处、学生处、团委、招就处、各系党支部书记为成员。领导小组下设“第二课堂成绩单”学分运营中心，挂靠院团委，团委书记兼任主任。“第二课堂成绩单”学分运营中心负责全校学生“第二课堂成绩单”学分的具体规划、指导和监督等工作。</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各系部成立“第二课堂成绩单”学分工作领导小组，组长由系党支部书记担任，依托系分团委，组织实施本系“第二课堂成绩单”学分工作。</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各团支部成立由辅导员、团学干部和学生代表5-7人组成的“第二课堂成绩单”学分工作小组，由辅导员任组长，具体组织实施班级学生“第二课堂成绩单”的学分审定、公示和上报工作。</w:t>
      </w:r>
    </w:p>
    <w:p>
      <w:pPr>
        <w:ind w:firstLine="640" w:firstLineChars="200"/>
        <w:rPr>
          <w:rFonts w:ascii="Times New Roman" w:hAnsi="Times New Roman" w:eastAsia="方正仿宋_GBK" w:cs="方正仿宋_GBK"/>
          <w:color w:val="FF0000"/>
          <w:sz w:val="32"/>
          <w:szCs w:val="32"/>
          <w:highlight w:val="yellow"/>
        </w:rPr>
      </w:pPr>
      <w:r>
        <w:rPr>
          <w:rFonts w:hint="eastAsia" w:ascii="Times New Roman" w:hAnsi="Times New Roman" w:eastAsia="方正黑体_GBK" w:cs="方正黑体_GBK"/>
          <w:bCs/>
          <w:sz w:val="32"/>
          <w:szCs w:val="32"/>
        </w:rPr>
        <w:t>第五条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学生获得“第二课堂成绩单”学分采取</w:t>
      </w:r>
      <w:r>
        <w:rPr>
          <w:rFonts w:ascii="Times New Roman" w:hAnsi="Times New Roman" w:eastAsia="方正仿宋_GBK" w:cs="方正仿宋_GBK"/>
          <w:sz w:val="32"/>
          <w:szCs w:val="32"/>
        </w:rPr>
        <w:t>得</w:t>
      </w:r>
      <w:r>
        <w:rPr>
          <w:rFonts w:hint="eastAsia" w:ascii="Times New Roman" w:hAnsi="Times New Roman" w:eastAsia="方正仿宋_GBK" w:cs="方正仿宋_GBK"/>
          <w:sz w:val="32"/>
          <w:szCs w:val="32"/>
        </w:rPr>
        <w:t>分方式，要求从思想政治、实践实习、志愿公益、创新创业、文艺体育、社会工作、技能培训及其它等八个方面内容的至少五项中获得</w:t>
      </w:r>
      <w:r>
        <w:rPr>
          <w:rFonts w:ascii="Times New Roman" w:hAnsi="Times New Roman" w:eastAsia="方正仿宋_GBK" w:cs="方正仿宋_GBK"/>
          <w:sz w:val="32"/>
          <w:szCs w:val="32"/>
        </w:rPr>
        <w:t>学</w:t>
      </w:r>
      <w:r>
        <w:rPr>
          <w:rFonts w:hint="eastAsia" w:ascii="Times New Roman" w:hAnsi="Times New Roman" w:eastAsia="方正仿宋_GBK" w:cs="方正仿宋_GBK"/>
          <w:sz w:val="32"/>
          <w:szCs w:val="32"/>
        </w:rPr>
        <w:t>分，且思想政治、实践实习、志愿公益必须有相应</w:t>
      </w:r>
      <w:r>
        <w:rPr>
          <w:rFonts w:ascii="Times New Roman" w:hAnsi="Times New Roman" w:eastAsia="方正仿宋_GBK" w:cs="方正仿宋_GBK"/>
          <w:sz w:val="32"/>
          <w:szCs w:val="32"/>
        </w:rPr>
        <w:t>学分</w:t>
      </w:r>
      <w:r>
        <w:rPr>
          <w:rFonts w:hint="eastAsia" w:ascii="Times New Roman" w:hAnsi="Times New Roman" w:eastAsia="方正仿宋_GBK" w:cs="方正仿宋_GBK"/>
          <w:sz w:val="32"/>
          <w:szCs w:val="32"/>
        </w:rPr>
        <w:t>（</w:t>
      </w:r>
      <w:r>
        <w:rPr>
          <w:rFonts w:ascii="Times New Roman" w:hAnsi="Times New Roman" w:eastAsia="方正仿宋_GBK" w:cs="方正仿宋_GBK"/>
          <w:sz w:val="32"/>
          <w:szCs w:val="32"/>
        </w:rPr>
        <w:t>学分计</w:t>
      </w:r>
      <w:r>
        <w:rPr>
          <w:rFonts w:hint="eastAsia" w:ascii="Times New Roman" w:hAnsi="Times New Roman" w:eastAsia="方正仿宋_GBK" w:cs="方正仿宋_GBK"/>
          <w:sz w:val="32"/>
          <w:szCs w:val="32"/>
        </w:rPr>
        <w:t>算见《四川电子机械职业技术学院“第二课堂成绩单”学分计算方法》）。</w:t>
      </w:r>
      <w:r>
        <w:rPr>
          <w:rFonts w:ascii="Times New Roman" w:hAnsi="Times New Roman" w:eastAsia="方正仿宋_GBK" w:cs="方正仿宋_GBK"/>
          <w:sz w:val="32"/>
          <w:szCs w:val="32"/>
        </w:rPr>
        <w:t>学分</w:t>
      </w:r>
      <w:r>
        <w:rPr>
          <w:rFonts w:hint="eastAsia" w:ascii="Times New Roman" w:hAnsi="Times New Roman" w:eastAsia="方正仿宋_GBK" w:cs="方正仿宋_GBK"/>
          <w:sz w:val="32"/>
          <w:szCs w:val="32"/>
        </w:rPr>
        <w:t>计算过程中，内容相同的项目只计算最高分值，得分不累加。集体项目</w:t>
      </w:r>
      <w:r>
        <w:rPr>
          <w:rFonts w:ascii="Times New Roman" w:hAnsi="Times New Roman" w:eastAsia="方正仿宋_GBK" w:cs="方正仿宋_GBK"/>
          <w:sz w:val="32"/>
          <w:szCs w:val="32"/>
        </w:rPr>
        <w:t>学</w:t>
      </w:r>
      <w:r>
        <w:rPr>
          <w:rFonts w:hint="eastAsia" w:ascii="Times New Roman" w:hAnsi="Times New Roman" w:eastAsia="方正仿宋_GBK" w:cs="方正仿宋_GBK"/>
          <w:sz w:val="32"/>
          <w:szCs w:val="32"/>
        </w:rPr>
        <w:t>分</w:t>
      </w:r>
      <w:r>
        <w:rPr>
          <w:rFonts w:ascii="Times New Roman" w:hAnsi="Times New Roman" w:eastAsia="方正仿宋_GBK" w:cs="方正仿宋_GBK"/>
          <w:sz w:val="32"/>
          <w:szCs w:val="32"/>
        </w:rPr>
        <w:t>计算</w:t>
      </w:r>
      <w:r>
        <w:rPr>
          <w:rFonts w:hint="eastAsia" w:ascii="Times New Roman" w:hAnsi="Times New Roman" w:eastAsia="方正仿宋_GBK" w:cs="方正仿宋_GBK"/>
          <w:sz w:val="32"/>
          <w:szCs w:val="32"/>
        </w:rPr>
        <w:t>，《四川电子机械职业技术学院“第二课堂成绩单”学分计算办法》有明确规定的，按要求进行；如无明确规定，则按该项目主要完成人（排名第1）、协助完成人（排名第2、第3）、和参与完成人（排名第3位以后）等三个层次，将所获</w:t>
      </w:r>
      <w:r>
        <w:rPr>
          <w:rFonts w:ascii="Times New Roman" w:hAnsi="Times New Roman" w:eastAsia="方正仿宋_GBK" w:cs="方正仿宋_GBK"/>
          <w:sz w:val="32"/>
          <w:szCs w:val="32"/>
        </w:rPr>
        <w:t>学</w:t>
      </w:r>
      <w:r>
        <w:rPr>
          <w:rFonts w:hint="eastAsia" w:ascii="Times New Roman" w:hAnsi="Times New Roman" w:eastAsia="方正仿宋_GBK" w:cs="方正仿宋_GBK"/>
          <w:sz w:val="32"/>
          <w:szCs w:val="32"/>
        </w:rPr>
        <w:t>分分数分别乘以</w:t>
      </w:r>
      <w:r>
        <w:rPr>
          <w:rFonts w:ascii="Times New Roman" w:hAnsi="Times New Roman" w:eastAsia="方正仿宋_GBK" w:cs="方正仿宋_GBK"/>
          <w:sz w:val="32"/>
          <w:szCs w:val="32"/>
        </w:rPr>
        <w:t>0.</w:t>
      </w:r>
      <w:r>
        <w:rPr>
          <w:rFonts w:hint="eastAsia" w:ascii="Times New Roman" w:hAnsi="Times New Roman" w:eastAsia="方正仿宋_GBK" w:cs="方正仿宋_GBK"/>
          <w:sz w:val="32"/>
          <w:szCs w:val="32"/>
        </w:rPr>
        <w:t>1、0.</w:t>
      </w:r>
      <w:r>
        <w:rPr>
          <w:rFonts w:ascii="Times New Roman" w:hAnsi="Times New Roman" w:eastAsia="方正仿宋_GBK" w:cs="方正仿宋_GBK"/>
          <w:sz w:val="32"/>
          <w:szCs w:val="32"/>
        </w:rPr>
        <w:t>0</w:t>
      </w:r>
      <w:r>
        <w:rPr>
          <w:rFonts w:hint="eastAsia" w:ascii="Times New Roman" w:hAnsi="Times New Roman" w:eastAsia="方正仿宋_GBK" w:cs="方正仿宋_GBK"/>
          <w:sz w:val="32"/>
          <w:szCs w:val="32"/>
        </w:rPr>
        <w:t xml:space="preserve">5、0. </w:t>
      </w:r>
      <w:r>
        <w:rPr>
          <w:rFonts w:ascii="Times New Roman" w:hAnsi="Times New Roman" w:eastAsia="方正仿宋_GBK" w:cs="方正仿宋_GBK"/>
          <w:sz w:val="32"/>
          <w:szCs w:val="32"/>
        </w:rPr>
        <w:t>0</w:t>
      </w:r>
      <w:r>
        <w:rPr>
          <w:rFonts w:hint="eastAsia" w:ascii="Times New Roman" w:hAnsi="Times New Roman" w:eastAsia="方正仿宋_GBK" w:cs="方正仿宋_GBK"/>
          <w:sz w:val="32"/>
          <w:szCs w:val="32"/>
        </w:rPr>
        <w:t>25计算。</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第六条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“第二课堂成绩单”学分原则上以一学期为审核、上报时间单位，智慧共青团“第二课堂成绩单”学分运营中心为最终审核单位。</w:t>
      </w:r>
    </w:p>
    <w:p>
      <w:pPr>
        <w:ind w:firstLine="640" w:firstLineChars="200"/>
        <w:rPr>
          <w:rFonts w:ascii="Times New Roman" w:hAnsi="Times New Roman" w:eastAsia="方正仿宋_GBK" w:cs="方正仿宋_GBK"/>
          <w:bCs/>
          <w:sz w:val="32"/>
          <w:szCs w:val="32"/>
        </w:rPr>
      </w:pPr>
      <w:r>
        <w:rPr>
          <w:rFonts w:hint="eastAsia" w:ascii="Times New Roman" w:hAnsi="Times New Roman" w:eastAsia="方正黑体_GBK" w:cs="方正黑体_GBK"/>
          <w:bCs/>
          <w:sz w:val="32"/>
          <w:szCs w:val="32"/>
        </w:rPr>
        <w:t>第七条</w:t>
      </w:r>
      <w:r>
        <w:rPr>
          <w:rFonts w:hint="eastAsia" w:ascii="Times New Roman" w:hAnsi="Times New Roman" w:eastAsia="方正仿宋_GBK" w:cs="方正仿宋_GBK"/>
          <w:bCs/>
          <w:sz w:val="32"/>
          <w:szCs w:val="32"/>
        </w:rPr>
        <w:t xml:space="preserve"> “第二课堂成绩单”学分依托苏州天宫信息技术有限公司自主开发的“第二课堂成绩单”网络管理系统（PU口袋校园信息化平台）实时网上认证管理。申报“第二课堂成绩单”学分的学生在每年9月、3月登陆《PU口袋校园信息化平台》，上网打印各自的“第二课堂成绩单”成绩单，并将其交班级“第二课堂成绩单”学分工作小组。各“第二课堂成绩单”学分工作小组按照《四川电子机械职业技术学院“第二课堂成绩单”学分计算表》审核各项</w:t>
      </w:r>
      <w:r>
        <w:rPr>
          <w:rFonts w:ascii="Times New Roman" w:hAnsi="Times New Roman" w:eastAsia="方正仿宋_GBK" w:cs="方正仿宋_GBK"/>
          <w:bCs/>
          <w:sz w:val="32"/>
          <w:szCs w:val="32"/>
        </w:rPr>
        <w:t>学分</w:t>
      </w:r>
      <w:r>
        <w:rPr>
          <w:rFonts w:hint="eastAsia" w:ascii="Times New Roman" w:hAnsi="Times New Roman" w:eastAsia="方正仿宋_GBK" w:cs="方正仿宋_GBK"/>
          <w:bCs/>
          <w:sz w:val="32"/>
          <w:szCs w:val="32"/>
        </w:rPr>
        <w:t>，根据文件精神确定最后的</w:t>
      </w:r>
      <w:r>
        <w:rPr>
          <w:rFonts w:ascii="Times New Roman" w:hAnsi="Times New Roman" w:eastAsia="方正仿宋_GBK" w:cs="方正仿宋_GBK"/>
          <w:bCs/>
          <w:sz w:val="32"/>
          <w:szCs w:val="32"/>
        </w:rPr>
        <w:t>学分</w:t>
      </w:r>
      <w:r>
        <w:rPr>
          <w:rFonts w:hint="eastAsia" w:ascii="Times New Roman" w:hAnsi="Times New Roman" w:eastAsia="方正仿宋_GBK" w:cs="方正仿宋_GBK"/>
          <w:bCs/>
          <w:sz w:val="32"/>
          <w:szCs w:val="32"/>
        </w:rPr>
        <w:t>，结果报各系部分团委审核，系部分团委审核无误后交学院智慧共青团“第二课堂成绩单”学分运营中心审核，结果经统一公示后于每年9月、2月底存档。每学期</w:t>
      </w:r>
      <w:r>
        <w:rPr>
          <w:rFonts w:ascii="Times New Roman" w:hAnsi="Times New Roman" w:eastAsia="方正仿宋_GBK" w:cs="方正仿宋_GBK"/>
          <w:bCs/>
          <w:sz w:val="32"/>
          <w:szCs w:val="32"/>
        </w:rPr>
        <w:t>学分</w:t>
      </w:r>
      <w:r>
        <w:rPr>
          <w:rFonts w:hint="eastAsia" w:ascii="Times New Roman" w:hAnsi="Times New Roman" w:eastAsia="方正仿宋_GBK" w:cs="方正仿宋_GBK"/>
          <w:bCs/>
          <w:sz w:val="32"/>
          <w:szCs w:val="32"/>
        </w:rPr>
        <w:t>低于1分者不得参与该学年评奖评优、推优入党。</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第八条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第二课堂成绩单”学分原则上需在毕业当年4月前修满。每年4月开展毕业生“第二课堂成绩单”学分认定工作，各系分团委按照规定开展学分及总体学分认定工作，修满“第二课堂成绩单”学分学生名单及“第二课堂成绩单”报送院团委，学院团委会同教务处等部门对累计修满相应学分的毕业生进行统一审核，审核无误后盖章认定“第二课堂成绩单”并装入档案袋。</w:t>
      </w:r>
    </w:p>
    <w:p>
      <w:pPr>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第九条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凡弄虚作假申请“第二课堂成绩单”</w:t>
      </w:r>
      <w:r>
        <w:rPr>
          <w:rFonts w:ascii="Times New Roman" w:hAnsi="Times New Roman" w:eastAsia="方正仿宋_GBK" w:cs="方正仿宋_GBK"/>
          <w:sz w:val="32"/>
          <w:szCs w:val="32"/>
        </w:rPr>
        <w:t>学分</w:t>
      </w:r>
      <w:r>
        <w:rPr>
          <w:rFonts w:hint="eastAsia" w:ascii="Times New Roman" w:hAnsi="Times New Roman" w:eastAsia="方正仿宋_GBK" w:cs="方正仿宋_GBK"/>
          <w:sz w:val="32"/>
          <w:szCs w:val="32"/>
        </w:rPr>
        <w:t>的学生，一经发现取消该项目的“第二课堂成绩单”</w:t>
      </w:r>
      <w:r>
        <w:rPr>
          <w:rFonts w:ascii="Times New Roman" w:hAnsi="Times New Roman" w:eastAsia="方正仿宋_GBK" w:cs="方正仿宋_GBK"/>
          <w:sz w:val="32"/>
          <w:szCs w:val="32"/>
        </w:rPr>
        <w:t>学</w:t>
      </w:r>
      <w:r>
        <w:rPr>
          <w:rFonts w:hint="eastAsia" w:ascii="Times New Roman" w:hAnsi="Times New Roman" w:eastAsia="方正仿宋_GBK" w:cs="方正仿宋_GBK"/>
          <w:sz w:val="32"/>
          <w:szCs w:val="32"/>
        </w:rPr>
        <w:t>分，并根据学校有关规定给予相应的纪律处分。</w:t>
      </w:r>
    </w:p>
    <w:p>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方正仿宋_GBK" w:cs="方正仿宋_GBK"/>
          <w:sz w:val="32"/>
          <w:szCs w:val="32"/>
        </w:rPr>
      </w:pPr>
      <w:r>
        <w:rPr>
          <w:rFonts w:hint="eastAsia" w:eastAsia="方正黑体_GBK" w:cs="方正黑体_GBK"/>
          <w:bCs/>
          <w:sz w:val="32"/>
          <w:szCs w:val="32"/>
        </w:rPr>
        <w:t xml:space="preserve">第十条 </w:t>
      </w:r>
      <w:r>
        <w:rPr>
          <w:rFonts w:hint="eastAsia" w:eastAsia="方正仿宋_GBK" w:cs="方正仿宋_GBK"/>
          <w:sz w:val="32"/>
          <w:szCs w:val="32"/>
        </w:rPr>
        <w:t>凡《四川电子机械职业技术学院“第二课堂成绩单”学分认定及实施办法》中未涉及到、但需要予以确认</w:t>
      </w:r>
      <w:r>
        <w:rPr>
          <w:rFonts w:cs="方正仿宋_GBK"/>
          <w:sz w:val="32"/>
          <w:szCs w:val="32"/>
        </w:rPr>
        <w:t>学</w:t>
      </w:r>
      <w:r>
        <w:rPr>
          <w:rFonts w:hint="eastAsia" w:eastAsia="方正仿宋_GBK" w:cs="方正仿宋_GBK"/>
          <w:sz w:val="32"/>
          <w:szCs w:val="32"/>
        </w:rPr>
        <w:t>分的项目可由各系“第二课堂成绩单”学分工作领导小组讨论初审后上报学院团委审核通过并备案。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bCs/>
          <w:color w:val="000000"/>
          <w:sz w:val="32"/>
          <w:szCs w:val="32"/>
        </w:rPr>
      </w:pPr>
      <w:r>
        <w:rPr>
          <w:rFonts w:hint="eastAsia" w:ascii="Times New Roman" w:hAnsi="Times New Roman" w:eastAsia="方正黑体_GBK" w:cs="方正黑体_GBK"/>
          <w:bCs/>
          <w:sz w:val="32"/>
          <w:szCs w:val="32"/>
        </w:rPr>
        <w:t>第十一条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本《办法》自公布之日起开始实施。本办法由学院团委负责解释。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黑体_GBK" w:cs="方正黑体_GBK"/>
          <w:sz w:val="32"/>
          <w:szCs w:val="32"/>
        </w:rPr>
      </w:pPr>
      <w:r>
        <w:rPr>
          <w:rFonts w:hint="eastAsia" w:ascii="Times New Roman" w:hAnsi="Times New Roman" w:eastAsia="方正黑体_GBK" w:cs="方正黑体_GBK"/>
          <w:bCs/>
          <w:sz w:val="32"/>
          <w:szCs w:val="32"/>
        </w:rPr>
        <w:t>第十二条</w:t>
      </w:r>
      <w:r>
        <w:rPr>
          <w:rFonts w:hint="eastAsia" w:ascii="Times New Roman" w:hAnsi="Times New Roman" w:eastAsia="方正黑体_GBK" w:cs="方正黑体_GBK"/>
          <w:sz w:val="32"/>
          <w:szCs w:val="32"/>
        </w:rPr>
        <w:t xml:space="preserve"> “第二课堂成绩单”学分级别标准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国家级活动是指由国务院各部（委）、团中央、教育部各学科委员会主办的活动；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国家级各社会团体举办的活动，原则上作为省级活动认证；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省级活动是指由四川省各厅（委）、团省委、教育厅各有关部门等主办的活动</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省级各社会团体举办的活动，原则上作为市级活动认证；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市级政府及主要党政部门和团市委主办的活动按市级活动认证学分；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市级各社会团体举办的活动，原则上作为校级活动认证；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学生参加活动的级别认定以实际举办单位（表彰单位）所属级别为准；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凡带有商业性质的评比竞赛活动，一律不予认证学分。</w:t>
      </w:r>
    </w:p>
    <w:p>
      <w:pPr>
        <w:spacing w:line="560" w:lineRule="exact"/>
        <w:ind w:firstLine="640" w:firstLineChars="200"/>
        <w:jc w:val="center"/>
        <w:rPr>
          <w:rFonts w:ascii="Times New Roman" w:hAnsi="Times New Roman" w:eastAsia="方正仿宋_GBK" w:cs="方正仿宋_GBK"/>
          <w:b/>
          <w:bCs/>
          <w:color w:val="000000"/>
          <w:sz w:val="32"/>
          <w:szCs w:val="32"/>
        </w:rPr>
      </w:pPr>
      <w:r>
        <w:rPr>
          <w:rFonts w:hint="eastAsia" w:ascii="Times New Roman" w:hAnsi="Times New Roman" w:eastAsia="方正黑体_GBK" w:cs="方正黑体_GBK"/>
          <w:color w:val="000000"/>
          <w:sz w:val="32"/>
          <w:szCs w:val="32"/>
        </w:rPr>
        <w:t>“第二课堂成绩单</w:t>
      </w:r>
      <w:r>
        <w:rPr>
          <w:rFonts w:ascii="Times New Roman" w:hAnsi="Times New Roman" w:eastAsia="方正黑体_GBK" w:cs="方正黑体_GBK"/>
          <w:color w:val="000000"/>
          <w:sz w:val="32"/>
          <w:szCs w:val="32"/>
        </w:rPr>
        <w:t>”学</w:t>
      </w:r>
      <w:r>
        <w:rPr>
          <w:rFonts w:hint="eastAsia" w:ascii="Times New Roman" w:hAnsi="Times New Roman" w:eastAsia="方正黑体_GBK" w:cs="方正黑体_GBK"/>
          <w:color w:val="000000"/>
          <w:sz w:val="32"/>
          <w:szCs w:val="32"/>
        </w:rPr>
        <w:t>分认定标准”</w:t>
      </w:r>
    </w:p>
    <w:tbl>
      <w:tblPr>
        <w:tblStyle w:val="7"/>
        <w:tblW w:w="9087" w:type="dxa"/>
        <w:jc w:val="center"/>
        <w:tblLayout w:type="fixed"/>
        <w:tblCellMar>
          <w:top w:w="15" w:type="dxa"/>
          <w:left w:w="15" w:type="dxa"/>
          <w:bottom w:w="15" w:type="dxa"/>
          <w:right w:w="15" w:type="dxa"/>
        </w:tblCellMar>
      </w:tblPr>
      <w:tblGrid>
        <w:gridCol w:w="817"/>
        <w:gridCol w:w="1987"/>
        <w:gridCol w:w="4709"/>
        <w:gridCol w:w="1574"/>
      </w:tblGrid>
      <w:tr>
        <w:tblPrEx>
          <w:tblCellMar>
            <w:top w:w="15" w:type="dxa"/>
            <w:left w:w="15" w:type="dxa"/>
            <w:bottom w:w="15" w:type="dxa"/>
            <w:right w:w="15" w:type="dxa"/>
          </w:tblCellMar>
        </w:tblPrEx>
        <w:trPr>
          <w:trHeight w:val="480" w:hRule="atLeast"/>
          <w:jc w:val="center"/>
        </w:trPr>
        <w:tc>
          <w:tcPr>
            <w:tcW w:w="8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类别</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参加活动项目</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sz w:val="20"/>
                <w:szCs w:val="20"/>
              </w:rPr>
            </w:pPr>
            <w:r>
              <w:rPr>
                <w:rFonts w:ascii="Times New Roman" w:hAnsi="Times New Roman"/>
                <w:b/>
                <w:color w:val="000000"/>
                <w:kern w:val="0"/>
                <w:sz w:val="20"/>
                <w:szCs w:val="20"/>
              </w:rPr>
              <w:t>学</w:t>
            </w:r>
            <w:r>
              <w:rPr>
                <w:rFonts w:hint="eastAsia" w:ascii="Times New Roman" w:hAnsi="Times New Roman"/>
                <w:b/>
                <w:color w:val="000000"/>
                <w:kern w:val="0"/>
                <w:sz w:val="20"/>
                <w:szCs w:val="20"/>
              </w:rPr>
              <w:t>分兑换标准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备注</w:t>
            </w:r>
          </w:p>
        </w:tc>
      </w:tr>
      <w:tr>
        <w:tblPrEx>
          <w:tblCellMar>
            <w:top w:w="15" w:type="dxa"/>
            <w:left w:w="15" w:type="dxa"/>
            <w:bottom w:w="15" w:type="dxa"/>
            <w:right w:w="15" w:type="dxa"/>
          </w:tblCellMar>
        </w:tblPrEx>
        <w:trPr>
          <w:trHeight w:val="1981" w:hRule="atLeast"/>
          <w:jc w:val="center"/>
        </w:trPr>
        <w:tc>
          <w:tcPr>
            <w:tcW w:w="817"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思想政治（</w:t>
            </w:r>
            <w:r>
              <w:rPr>
                <w:rFonts w:ascii="Times New Roman" w:hAnsi="Times New Roman"/>
                <w:color w:val="000000"/>
                <w:kern w:val="0"/>
                <w:sz w:val="20"/>
                <w:szCs w:val="20"/>
              </w:rPr>
              <w:t>学</w:t>
            </w:r>
            <w:r>
              <w:rPr>
                <w:rFonts w:hint="eastAsia" w:ascii="Times New Roman" w:hAnsi="Times New Roman"/>
                <w:color w:val="000000"/>
                <w:kern w:val="0"/>
                <w:sz w:val="20"/>
                <w:szCs w:val="20"/>
              </w:rPr>
              <w:t>分至少</w:t>
            </w:r>
            <w:r>
              <w:rPr>
                <w:rFonts w:ascii="Times New Roman" w:hAnsi="Times New Roman"/>
                <w:color w:val="000000"/>
                <w:kern w:val="0"/>
                <w:sz w:val="20"/>
                <w:szCs w:val="20"/>
              </w:rPr>
              <w:t>0.</w:t>
            </w:r>
            <w:r>
              <w:rPr>
                <w:rFonts w:hint="eastAsia" w:ascii="Times New Roman" w:hAnsi="Times New Roman"/>
                <w:color w:val="000000"/>
                <w:kern w:val="0"/>
                <w:sz w:val="20"/>
                <w:szCs w:val="20"/>
              </w:rPr>
              <w:t>2分以上方可认定学分，低于</w:t>
            </w:r>
            <w:r>
              <w:rPr>
                <w:rFonts w:ascii="Times New Roman" w:hAnsi="Times New Roman"/>
                <w:color w:val="000000"/>
                <w:kern w:val="0"/>
                <w:sz w:val="20"/>
                <w:szCs w:val="20"/>
              </w:rPr>
              <w:t>0.</w:t>
            </w:r>
            <w:r>
              <w:rPr>
                <w:rFonts w:hint="eastAsia" w:ascii="Times New Roman" w:hAnsi="Times New Roman"/>
                <w:color w:val="000000"/>
                <w:kern w:val="0"/>
                <w:sz w:val="20"/>
                <w:szCs w:val="20"/>
              </w:rPr>
              <w:t>2分不予以认定学分）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主题性思想政治教育活动、演讲比赛或知识竞赛</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申请参加成员每人每项可</w:t>
            </w:r>
            <w:r>
              <w:rPr>
                <w:rFonts w:ascii="Times New Roman" w:hAnsi="Times New Roman"/>
                <w:color w:val="000000"/>
                <w:kern w:val="0"/>
                <w:sz w:val="20"/>
                <w:szCs w:val="20"/>
              </w:rPr>
              <w:t>得学分0.</w:t>
            </w:r>
            <w:r>
              <w:rPr>
                <w:rFonts w:hint="eastAsia" w:ascii="Times New Roman" w:hAnsi="Times New Roman"/>
                <w:color w:val="000000"/>
                <w:kern w:val="0"/>
                <w:sz w:val="20"/>
                <w:szCs w:val="20"/>
              </w:rPr>
              <w:t>1分；系级知识竞赛（演讲比赛）荣获一等奖、二等奖、三等奖、优秀奖分别可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2分、</w:t>
            </w:r>
            <w:r>
              <w:rPr>
                <w:rFonts w:ascii="Times New Roman" w:hAnsi="Times New Roman"/>
                <w:color w:val="000000"/>
                <w:kern w:val="0"/>
                <w:sz w:val="20"/>
                <w:szCs w:val="20"/>
              </w:rPr>
              <w:t>0.</w:t>
            </w:r>
            <w:r>
              <w:rPr>
                <w:rFonts w:hint="eastAsia" w:ascii="Times New Roman" w:hAnsi="Times New Roman"/>
                <w:color w:val="000000"/>
                <w:kern w:val="0"/>
                <w:sz w:val="20"/>
                <w:szCs w:val="20"/>
              </w:rPr>
              <w:t>15分；院级知识竞赛（演讲比赛）荣获一等奖、二等奖、三等奖、优秀奖分别可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2分；省市级、国家级知识竞赛（演讲比赛）荣获一等奖、二等奖、三等奖、优秀奖分别可</w:t>
            </w:r>
            <w:r>
              <w:rPr>
                <w:rFonts w:ascii="Times New Roman" w:hAnsi="Times New Roman"/>
                <w:color w:val="000000"/>
                <w:kern w:val="0"/>
                <w:sz w:val="20"/>
                <w:szCs w:val="20"/>
              </w:rPr>
              <w:t>得</w:t>
            </w:r>
            <w:r>
              <w:rPr>
                <w:rFonts w:hint="eastAsia" w:ascii="Times New Roman" w:hAnsi="Times New Roman"/>
                <w:color w:val="000000"/>
                <w:kern w:val="0"/>
                <w:sz w:val="20"/>
                <w:szCs w:val="20"/>
              </w:rPr>
              <w:t>1分、</w:t>
            </w:r>
            <w:r>
              <w:rPr>
                <w:rFonts w:ascii="Times New Roman" w:hAnsi="Times New Roman"/>
                <w:color w:val="000000"/>
                <w:kern w:val="0"/>
                <w:sz w:val="20"/>
                <w:szCs w:val="20"/>
              </w:rPr>
              <w:t>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该项每人每学期</w:t>
            </w:r>
            <w:r>
              <w:rPr>
                <w:rFonts w:ascii="Times New Roman" w:hAnsi="Times New Roman"/>
                <w:color w:val="000000"/>
                <w:kern w:val="0"/>
                <w:sz w:val="20"/>
                <w:szCs w:val="20"/>
              </w:rPr>
              <w:t>学分</w:t>
            </w:r>
            <w:r>
              <w:rPr>
                <w:rFonts w:hint="eastAsia" w:ascii="Times New Roman" w:hAnsi="Times New Roman"/>
                <w:color w:val="000000"/>
                <w:kern w:val="0"/>
                <w:sz w:val="20"/>
                <w:szCs w:val="20"/>
              </w:rPr>
              <w:t>上限为1分</w:t>
            </w:r>
          </w:p>
        </w:tc>
      </w:tr>
      <w:tr>
        <w:tblPrEx>
          <w:tblCellMar>
            <w:top w:w="15" w:type="dxa"/>
            <w:left w:w="15" w:type="dxa"/>
            <w:bottom w:w="15" w:type="dxa"/>
            <w:right w:w="15" w:type="dxa"/>
          </w:tblCellMar>
        </w:tblPrEx>
        <w:trPr>
          <w:trHeight w:val="900" w:hRule="atLeast"/>
          <w:jc w:val="center"/>
        </w:trPr>
        <w:tc>
          <w:tcPr>
            <w:tcW w:w="817" w:type="dxa"/>
            <w:vMerge w:val="continue"/>
            <w:tcBorders>
              <w:left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党校、团校培训等活动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党校、团校学习合格可</w:t>
            </w:r>
            <w:r>
              <w:rPr>
                <w:rFonts w:ascii="Times New Roman" w:hAnsi="Times New Roman"/>
                <w:color w:val="000000"/>
                <w:kern w:val="0"/>
                <w:sz w:val="20"/>
                <w:szCs w:val="20"/>
              </w:rPr>
              <w:t>得0.</w:t>
            </w:r>
            <w:r>
              <w:rPr>
                <w:rFonts w:hint="eastAsia" w:ascii="Times New Roman" w:hAnsi="Times New Roman"/>
                <w:color w:val="000000"/>
                <w:kern w:val="0"/>
                <w:sz w:val="20"/>
                <w:szCs w:val="20"/>
              </w:rPr>
              <w:t>3分；学院青马班学习合格可</w:t>
            </w:r>
            <w:r>
              <w:rPr>
                <w:rFonts w:ascii="Times New Roman" w:hAnsi="Times New Roman"/>
                <w:color w:val="000000"/>
                <w:kern w:val="0"/>
                <w:sz w:val="20"/>
                <w:szCs w:val="20"/>
              </w:rPr>
              <w:t>得0.</w:t>
            </w:r>
            <w:r>
              <w:rPr>
                <w:rFonts w:hint="eastAsia" w:ascii="Times New Roman" w:hAnsi="Times New Roman"/>
                <w:color w:val="000000"/>
                <w:kern w:val="0"/>
                <w:sz w:val="20"/>
                <w:szCs w:val="20"/>
              </w:rPr>
              <w:t>3分；被评为优秀学员加</w:t>
            </w:r>
            <w:r>
              <w:rPr>
                <w:rFonts w:ascii="Times New Roman" w:hAnsi="Times New Roman"/>
                <w:color w:val="000000"/>
                <w:kern w:val="0"/>
                <w:sz w:val="20"/>
                <w:szCs w:val="20"/>
              </w:rPr>
              <w:t>0.</w:t>
            </w:r>
            <w:r>
              <w:rPr>
                <w:rFonts w:hint="eastAsia" w:ascii="Times New Roman" w:hAnsi="Times New Roman"/>
                <w:color w:val="000000"/>
                <w:kern w:val="0"/>
                <w:sz w:val="20"/>
                <w:szCs w:val="20"/>
              </w:rPr>
              <w:t>2分；省级以上青马班学习合格可</w:t>
            </w:r>
            <w:r>
              <w:rPr>
                <w:rFonts w:ascii="Times New Roman" w:hAnsi="Times New Roman"/>
                <w:color w:val="000000"/>
                <w:kern w:val="0"/>
                <w:sz w:val="20"/>
                <w:szCs w:val="20"/>
              </w:rPr>
              <w:t>得0.</w:t>
            </w:r>
            <w:r>
              <w:rPr>
                <w:rFonts w:hint="eastAsia" w:ascii="Times New Roman" w:hAnsi="Times New Roman"/>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该项每人每学期</w:t>
            </w:r>
            <w:r>
              <w:rPr>
                <w:rFonts w:ascii="Times New Roman" w:hAnsi="Times New Roman"/>
                <w:color w:val="000000"/>
                <w:kern w:val="0"/>
                <w:sz w:val="20"/>
                <w:szCs w:val="20"/>
              </w:rPr>
              <w:t>得</w:t>
            </w:r>
            <w:r>
              <w:rPr>
                <w:rFonts w:hint="eastAsia" w:ascii="Times New Roman" w:hAnsi="Times New Roman"/>
                <w:color w:val="000000"/>
                <w:kern w:val="0"/>
                <w:sz w:val="20"/>
                <w:szCs w:val="20"/>
              </w:rPr>
              <w:t>分上限为</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p>
        </w:tc>
      </w:tr>
      <w:tr>
        <w:tblPrEx>
          <w:tblCellMar>
            <w:top w:w="15" w:type="dxa"/>
            <w:left w:w="15" w:type="dxa"/>
            <w:bottom w:w="15" w:type="dxa"/>
            <w:right w:w="15" w:type="dxa"/>
          </w:tblCellMar>
        </w:tblPrEx>
        <w:trPr>
          <w:trHeight w:val="1329" w:hRule="atLeast"/>
          <w:jc w:val="center"/>
        </w:trPr>
        <w:tc>
          <w:tcPr>
            <w:tcW w:w="817" w:type="dxa"/>
            <w:vMerge w:val="continue"/>
            <w:tcBorders>
              <w:left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川电机讲坛、形势政策报告会、理念信念主题教育报告会等专题讲座等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每参加一次可</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该项每人每学期</w:t>
            </w:r>
            <w:r>
              <w:rPr>
                <w:rFonts w:ascii="Times New Roman" w:hAnsi="Times New Roman"/>
                <w:color w:val="000000"/>
                <w:kern w:val="0"/>
                <w:sz w:val="20"/>
                <w:szCs w:val="20"/>
              </w:rPr>
              <w:t>得</w:t>
            </w:r>
            <w:r>
              <w:rPr>
                <w:rFonts w:hint="eastAsia" w:ascii="Times New Roman" w:hAnsi="Times New Roman"/>
                <w:color w:val="000000"/>
                <w:kern w:val="0"/>
                <w:sz w:val="20"/>
                <w:szCs w:val="20"/>
              </w:rPr>
              <w:t>分上限为</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p>
        </w:tc>
      </w:tr>
      <w:tr>
        <w:tblPrEx>
          <w:tblCellMar>
            <w:top w:w="15" w:type="dxa"/>
            <w:left w:w="15" w:type="dxa"/>
            <w:bottom w:w="15" w:type="dxa"/>
            <w:right w:w="15" w:type="dxa"/>
          </w:tblCellMar>
        </w:tblPrEx>
        <w:trPr>
          <w:trHeight w:val="596" w:hRule="atLeast"/>
          <w:jc w:val="center"/>
        </w:trPr>
        <w:tc>
          <w:tcPr>
            <w:tcW w:w="817" w:type="dxa"/>
            <w:vMerge w:val="continue"/>
            <w:tcBorders>
              <w:left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主题班会课</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学期主题班会课出勤率达100%可</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r>
              <w:rPr>
                <w:rFonts w:hint="eastAsia" w:ascii="Times New Roman" w:hAnsi="Times New Roman"/>
                <w:color w:val="000000"/>
                <w:sz w:val="20"/>
                <w:szCs w:val="20"/>
              </w:rPr>
              <w:t>未达100%不得分</w:t>
            </w:r>
          </w:p>
        </w:tc>
      </w:tr>
      <w:tr>
        <w:tblPrEx>
          <w:tblCellMar>
            <w:top w:w="15" w:type="dxa"/>
            <w:left w:w="15" w:type="dxa"/>
            <w:bottom w:w="15" w:type="dxa"/>
            <w:right w:w="15" w:type="dxa"/>
          </w:tblCellMar>
        </w:tblPrEx>
        <w:trPr>
          <w:trHeight w:val="632" w:hRule="atLeast"/>
          <w:jc w:val="center"/>
        </w:trPr>
        <w:tc>
          <w:tcPr>
            <w:tcW w:w="817" w:type="dxa"/>
            <w:vMerge w:val="continue"/>
            <w:tcBorders>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FF0000"/>
                <w:kern w:val="0"/>
                <w:sz w:val="20"/>
                <w:szCs w:val="20"/>
              </w:rPr>
            </w:pPr>
            <w:r>
              <w:rPr>
                <w:rFonts w:hint="eastAsia" w:ascii="Times New Roman" w:hAnsi="Times New Roman"/>
                <w:color w:val="000000"/>
                <w:kern w:val="0"/>
                <w:sz w:val="20"/>
                <w:szCs w:val="20"/>
              </w:rPr>
              <w:t>主题团日活动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kern w:val="0"/>
                <w:sz w:val="20"/>
                <w:szCs w:val="20"/>
              </w:rPr>
            </w:pPr>
            <w:r>
              <w:rPr>
                <w:rFonts w:hint="eastAsia" w:ascii="Times New Roman" w:hAnsi="Times New Roman"/>
                <w:color w:val="000000"/>
                <w:kern w:val="0"/>
                <w:sz w:val="20"/>
                <w:szCs w:val="20"/>
              </w:rPr>
              <w:t>学期主题团日活动出勤率达100%</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r>
              <w:rPr>
                <w:rFonts w:hint="eastAsia" w:ascii="Times New Roman" w:hAnsi="Times New Roman"/>
                <w:color w:val="000000"/>
                <w:sz w:val="20"/>
                <w:szCs w:val="20"/>
              </w:rPr>
              <w:t>未达100%不得分</w:t>
            </w:r>
          </w:p>
        </w:tc>
      </w:tr>
      <w:tr>
        <w:tblPrEx>
          <w:tblCellMar>
            <w:top w:w="15" w:type="dxa"/>
            <w:left w:w="15" w:type="dxa"/>
            <w:bottom w:w="15" w:type="dxa"/>
            <w:right w:w="15" w:type="dxa"/>
          </w:tblCellMar>
        </w:tblPrEx>
        <w:trPr>
          <w:trHeight w:val="795"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实践实习、志愿公益（</w:t>
            </w:r>
            <w:r>
              <w:rPr>
                <w:rFonts w:ascii="Times New Roman" w:hAnsi="Times New Roman"/>
                <w:color w:val="000000"/>
                <w:kern w:val="0"/>
                <w:sz w:val="20"/>
                <w:szCs w:val="20"/>
              </w:rPr>
              <w:t>学分</w:t>
            </w:r>
            <w:r>
              <w:rPr>
                <w:rFonts w:hint="eastAsia" w:ascii="Times New Roman" w:hAnsi="Times New Roman"/>
                <w:color w:val="000000"/>
                <w:kern w:val="0"/>
                <w:sz w:val="20"/>
                <w:szCs w:val="20"/>
              </w:rPr>
              <w:t>至少</w:t>
            </w:r>
            <w:r>
              <w:rPr>
                <w:rFonts w:ascii="Times New Roman" w:hAnsi="Times New Roman"/>
                <w:color w:val="000000"/>
                <w:kern w:val="0"/>
                <w:sz w:val="20"/>
                <w:szCs w:val="20"/>
              </w:rPr>
              <w:t>0.</w:t>
            </w:r>
            <w:r>
              <w:rPr>
                <w:rFonts w:hint="eastAsia" w:ascii="Times New Roman" w:hAnsi="Times New Roman"/>
                <w:color w:val="000000"/>
                <w:kern w:val="0"/>
                <w:sz w:val="20"/>
                <w:szCs w:val="20"/>
              </w:rPr>
              <w:t>2分以上方可认定学分，低于</w:t>
            </w:r>
            <w:r>
              <w:rPr>
                <w:rFonts w:ascii="Times New Roman" w:hAnsi="Times New Roman"/>
                <w:color w:val="000000"/>
                <w:kern w:val="0"/>
                <w:sz w:val="20"/>
                <w:szCs w:val="20"/>
              </w:rPr>
              <w:t>0.</w:t>
            </w:r>
            <w:r>
              <w:rPr>
                <w:rFonts w:hint="eastAsia" w:ascii="Times New Roman" w:hAnsi="Times New Roman"/>
                <w:color w:val="000000"/>
                <w:kern w:val="0"/>
                <w:sz w:val="20"/>
                <w:szCs w:val="20"/>
              </w:rPr>
              <w:t>2分不予以认定学分）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学校日常社会实践活动（走进企业等）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每参加一次可</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w:t>
            </w:r>
            <w:r>
              <w:rPr>
                <w:rFonts w:ascii="Times New Roman" w:hAnsi="Times New Roman"/>
                <w:color w:val="000000"/>
                <w:kern w:val="0"/>
                <w:sz w:val="20"/>
                <w:szCs w:val="20"/>
              </w:rPr>
              <w:t>得</w:t>
            </w:r>
            <w:r>
              <w:rPr>
                <w:rFonts w:hint="eastAsia" w:ascii="Times New Roman" w:hAnsi="Times New Roman"/>
                <w:color w:val="000000"/>
                <w:kern w:val="0"/>
                <w:sz w:val="20"/>
                <w:szCs w:val="20"/>
              </w:rPr>
              <w:t>分上限为</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p>
        </w:tc>
      </w:tr>
      <w:tr>
        <w:tblPrEx>
          <w:tblCellMar>
            <w:top w:w="15" w:type="dxa"/>
            <w:left w:w="15" w:type="dxa"/>
            <w:bottom w:w="15" w:type="dxa"/>
            <w:right w:w="15" w:type="dxa"/>
          </w:tblCellMar>
        </w:tblPrEx>
        <w:trPr>
          <w:trHeight w:val="763"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学校集中组织寒暑假社会实践活动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院级开展寒暑假社会实践参加可得</w:t>
            </w:r>
            <w:r>
              <w:rPr>
                <w:rFonts w:ascii="Times New Roman" w:hAnsi="Times New Roman"/>
                <w:color w:val="000000"/>
                <w:kern w:val="0"/>
                <w:sz w:val="20"/>
                <w:szCs w:val="20"/>
              </w:rPr>
              <w:t>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p>
        </w:tc>
      </w:tr>
      <w:tr>
        <w:tblPrEx>
          <w:tblCellMar>
            <w:top w:w="15" w:type="dxa"/>
            <w:left w:w="15" w:type="dxa"/>
            <w:bottom w:w="15" w:type="dxa"/>
            <w:right w:w="15" w:type="dxa"/>
          </w:tblCellMar>
        </w:tblPrEx>
        <w:trPr>
          <w:trHeight w:val="870"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机关挂职、实习（四川省逐梦计划活动）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考核合格者每人次</w:t>
            </w:r>
            <w:r>
              <w:rPr>
                <w:rFonts w:ascii="Times New Roman" w:hAnsi="Times New Roman"/>
                <w:color w:val="000000"/>
                <w:kern w:val="0"/>
                <w:sz w:val="20"/>
                <w:szCs w:val="20"/>
              </w:rPr>
              <w:t>得0.</w:t>
            </w:r>
            <w:r>
              <w:rPr>
                <w:rFonts w:hint="eastAsia" w:ascii="Times New Roman" w:hAnsi="Times New Roman"/>
                <w:color w:val="000000"/>
                <w:kern w:val="0"/>
                <w:sz w:val="20"/>
                <w:szCs w:val="20"/>
              </w:rPr>
              <w:t>3分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挂职实习时间要求4周以上，以挂职实习鉴定为准</w:t>
            </w:r>
          </w:p>
        </w:tc>
      </w:tr>
      <w:tr>
        <w:tblPrEx>
          <w:tblCellMar>
            <w:top w:w="15" w:type="dxa"/>
            <w:left w:w="15" w:type="dxa"/>
            <w:bottom w:w="15" w:type="dxa"/>
            <w:right w:w="15" w:type="dxa"/>
          </w:tblCellMar>
        </w:tblPrEx>
        <w:trPr>
          <w:trHeight w:val="61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志愿服务公益活动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参加院、系两级组织的志愿服务活动，每参加1次</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p>
        </w:tc>
      </w:tr>
      <w:tr>
        <w:tblPrEx>
          <w:tblCellMar>
            <w:top w:w="15" w:type="dxa"/>
            <w:left w:w="15" w:type="dxa"/>
            <w:bottom w:w="15" w:type="dxa"/>
            <w:right w:w="15" w:type="dxa"/>
          </w:tblCellMar>
        </w:tblPrEx>
        <w:trPr>
          <w:trHeight w:val="731"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sz w:val="20"/>
                <w:szCs w:val="20"/>
              </w:rPr>
              <w:t>创新</w:t>
            </w:r>
            <w:r>
              <w:rPr>
                <w:rFonts w:hint="eastAsia" w:ascii="Times New Roman" w:hAnsi="Times New Roman"/>
                <w:color w:val="000000"/>
                <w:sz w:val="20"/>
                <w:szCs w:val="20"/>
              </w:rPr>
              <w:br w:type="textWrapping"/>
            </w:r>
            <w:r>
              <w:rPr>
                <w:rFonts w:hint="eastAsia" w:ascii="Times New Roman" w:hAnsi="Times New Roman"/>
                <w:color w:val="000000"/>
                <w:sz w:val="20"/>
                <w:szCs w:val="20"/>
              </w:rPr>
              <w:t>创业</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专利发明</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专利发明每项可</w:t>
            </w:r>
            <w:r>
              <w:rPr>
                <w:rFonts w:ascii="Times New Roman" w:hAnsi="Times New Roman"/>
                <w:color w:val="000000"/>
                <w:kern w:val="0"/>
                <w:sz w:val="20"/>
                <w:szCs w:val="20"/>
              </w:rPr>
              <w:t>得</w:t>
            </w:r>
            <w:r>
              <w:rPr>
                <w:rFonts w:hint="eastAsia" w:ascii="Times New Roman" w:hAnsi="Times New Roman"/>
                <w:color w:val="000000"/>
                <w:kern w:val="0"/>
                <w:sz w:val="20"/>
                <w:szCs w:val="20"/>
              </w:rPr>
              <w:t>2分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p>
        </w:tc>
      </w:tr>
      <w:tr>
        <w:tblPrEx>
          <w:tblCellMar>
            <w:top w:w="15" w:type="dxa"/>
            <w:left w:w="15" w:type="dxa"/>
            <w:bottom w:w="15" w:type="dxa"/>
            <w:right w:w="15" w:type="dxa"/>
          </w:tblCellMar>
        </w:tblPrEx>
        <w:trPr>
          <w:trHeight w:val="838"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大学生创新创业立项</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院级立项成功可</w:t>
            </w:r>
            <w:r>
              <w:rPr>
                <w:rFonts w:ascii="Times New Roman" w:hAnsi="Times New Roman"/>
                <w:color w:val="000000"/>
                <w:kern w:val="0"/>
                <w:sz w:val="20"/>
                <w:szCs w:val="20"/>
              </w:rPr>
              <w:t>得0.</w:t>
            </w:r>
            <w:r>
              <w:rPr>
                <w:rFonts w:hint="eastAsia" w:ascii="Times New Roman" w:hAnsi="Times New Roman"/>
                <w:color w:val="000000"/>
                <w:kern w:val="0"/>
                <w:sz w:val="20"/>
                <w:szCs w:val="20"/>
              </w:rPr>
              <w:t>5分；省级、国家级立项分别可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7分、1分。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该项每学期上限为1分</w:t>
            </w:r>
          </w:p>
        </w:tc>
      </w:tr>
      <w:tr>
        <w:tblPrEx>
          <w:tblCellMar>
            <w:top w:w="15" w:type="dxa"/>
            <w:left w:w="15" w:type="dxa"/>
            <w:bottom w:w="15" w:type="dxa"/>
            <w:right w:w="15" w:type="dxa"/>
          </w:tblCellMar>
        </w:tblPrEx>
        <w:trPr>
          <w:trHeight w:val="1756"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“创青春”大学生创业大赛、“互联网+”创新创业大赛、青年志愿者服务项目大赛、专业类学科竞赛等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申请参加每人可</w:t>
            </w:r>
            <w:r>
              <w:rPr>
                <w:rFonts w:ascii="Times New Roman" w:hAnsi="Times New Roman"/>
                <w:color w:val="000000"/>
                <w:kern w:val="0"/>
                <w:sz w:val="20"/>
                <w:szCs w:val="20"/>
              </w:rPr>
              <w:t>得0.</w:t>
            </w:r>
            <w:r>
              <w:rPr>
                <w:rFonts w:hint="eastAsia" w:ascii="Times New Roman" w:hAnsi="Times New Roman"/>
                <w:color w:val="000000"/>
                <w:kern w:val="0"/>
                <w:sz w:val="20"/>
                <w:szCs w:val="20"/>
              </w:rPr>
              <w:t>1分；进入院级决赛荣获一等奖、二等奖、三等奖、优秀奖分别可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7分、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3分；参加省级比赛荣获一等奖、二等奖、三等奖分别可</w:t>
            </w:r>
            <w:r>
              <w:rPr>
                <w:rFonts w:ascii="Times New Roman" w:hAnsi="Times New Roman"/>
                <w:color w:val="000000"/>
                <w:kern w:val="0"/>
                <w:sz w:val="20"/>
                <w:szCs w:val="20"/>
              </w:rPr>
              <w:t>得</w:t>
            </w:r>
            <w:r>
              <w:rPr>
                <w:rFonts w:hint="eastAsia" w:ascii="Times New Roman" w:hAnsi="Times New Roman"/>
                <w:color w:val="000000"/>
                <w:kern w:val="0"/>
                <w:sz w:val="20"/>
                <w:szCs w:val="20"/>
              </w:rPr>
              <w:t>1</w:t>
            </w:r>
            <w:r>
              <w:rPr>
                <w:rFonts w:ascii="Times New Roman" w:hAnsi="Times New Roman"/>
                <w:color w:val="000000"/>
                <w:kern w:val="0"/>
                <w:sz w:val="20"/>
                <w:szCs w:val="20"/>
              </w:rPr>
              <w:t>.</w:t>
            </w:r>
            <w:r>
              <w:rPr>
                <w:rFonts w:hint="eastAsia" w:ascii="Times New Roman" w:hAnsi="Times New Roman"/>
                <w:color w:val="000000"/>
                <w:kern w:val="0"/>
                <w:sz w:val="20"/>
                <w:szCs w:val="20"/>
              </w:rPr>
              <w:t>5分、1分、</w:t>
            </w:r>
            <w:r>
              <w:rPr>
                <w:rFonts w:ascii="Times New Roman" w:hAnsi="Times New Roman"/>
                <w:color w:val="000000"/>
                <w:kern w:val="0"/>
                <w:sz w:val="20"/>
                <w:szCs w:val="20"/>
              </w:rPr>
              <w:t>0.</w:t>
            </w:r>
            <w:r>
              <w:rPr>
                <w:rFonts w:hint="eastAsia" w:ascii="Times New Roman" w:hAnsi="Times New Roman"/>
                <w:color w:val="000000"/>
                <w:kern w:val="0"/>
                <w:sz w:val="20"/>
                <w:szCs w:val="20"/>
              </w:rPr>
              <w:t>8分；参加国赛每人可积2分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该项每学期上限为2分</w:t>
            </w:r>
          </w:p>
        </w:tc>
      </w:tr>
      <w:tr>
        <w:tblPrEx>
          <w:tblCellMar>
            <w:top w:w="15" w:type="dxa"/>
            <w:left w:w="15" w:type="dxa"/>
            <w:bottom w:w="15" w:type="dxa"/>
            <w:right w:w="15" w:type="dxa"/>
          </w:tblCellMar>
        </w:tblPrEx>
        <w:trPr>
          <w:trHeight w:val="1111"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发表论文、文章</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院级媒体平台发表文章每篇可</w:t>
            </w:r>
            <w:r>
              <w:rPr>
                <w:rFonts w:ascii="Times New Roman" w:hAnsi="Times New Roman"/>
                <w:color w:val="000000"/>
                <w:kern w:val="0"/>
                <w:sz w:val="20"/>
                <w:szCs w:val="20"/>
              </w:rPr>
              <w:t>得0.</w:t>
            </w:r>
            <w:r>
              <w:rPr>
                <w:rFonts w:hint="eastAsia" w:ascii="Times New Roman" w:hAnsi="Times New Roman"/>
                <w:color w:val="000000"/>
                <w:kern w:val="0"/>
                <w:sz w:val="20"/>
                <w:szCs w:val="20"/>
              </w:rPr>
              <w:t>3分，在公开出版报纸期刊上发表文章每篇可</w:t>
            </w:r>
            <w:r>
              <w:rPr>
                <w:rFonts w:ascii="Times New Roman" w:hAnsi="Times New Roman"/>
                <w:color w:val="000000"/>
                <w:kern w:val="0"/>
                <w:sz w:val="20"/>
                <w:szCs w:val="20"/>
              </w:rPr>
              <w:t>得0.</w:t>
            </w:r>
            <w:r>
              <w:rPr>
                <w:rFonts w:hint="eastAsia" w:ascii="Times New Roman" w:hAnsi="Times New Roman"/>
                <w:color w:val="000000"/>
                <w:kern w:val="0"/>
                <w:sz w:val="20"/>
                <w:szCs w:val="20"/>
              </w:rPr>
              <w:t>5分；三大检索、核心期刊、一般期刊分别</w:t>
            </w:r>
            <w:r>
              <w:rPr>
                <w:rFonts w:ascii="Times New Roman" w:hAnsi="Times New Roman"/>
                <w:color w:val="000000"/>
                <w:kern w:val="0"/>
                <w:sz w:val="20"/>
                <w:szCs w:val="20"/>
              </w:rPr>
              <w:t>得</w:t>
            </w:r>
            <w:r>
              <w:rPr>
                <w:rFonts w:hint="eastAsia" w:ascii="Times New Roman" w:hAnsi="Times New Roman"/>
                <w:color w:val="000000"/>
                <w:kern w:val="0"/>
                <w:sz w:val="20"/>
                <w:szCs w:val="20"/>
              </w:rPr>
              <w:t>3分、2分、1分。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第一作者、第二、第三作者分别按</w:t>
            </w:r>
            <w:r>
              <w:rPr>
                <w:rFonts w:ascii="Times New Roman" w:hAnsi="Times New Roman"/>
                <w:color w:val="000000"/>
                <w:kern w:val="0"/>
                <w:sz w:val="20"/>
                <w:szCs w:val="20"/>
              </w:rPr>
              <w:t>得</w:t>
            </w:r>
            <w:r>
              <w:rPr>
                <w:rFonts w:hint="eastAsia" w:ascii="Times New Roman" w:hAnsi="Times New Roman"/>
                <w:color w:val="000000"/>
                <w:kern w:val="0"/>
                <w:sz w:val="20"/>
                <w:szCs w:val="20"/>
              </w:rPr>
              <w:t>分的100%和70%、50%</w:t>
            </w:r>
            <w:r>
              <w:rPr>
                <w:rFonts w:ascii="Times New Roman" w:hAnsi="Times New Roman"/>
                <w:color w:val="000000"/>
                <w:kern w:val="0"/>
                <w:sz w:val="20"/>
                <w:szCs w:val="20"/>
              </w:rPr>
              <w:t>得</w:t>
            </w:r>
            <w:r>
              <w:rPr>
                <w:rFonts w:hint="eastAsia" w:ascii="Times New Roman" w:hAnsi="Times New Roman"/>
                <w:color w:val="000000"/>
                <w:kern w:val="0"/>
                <w:sz w:val="20"/>
                <w:szCs w:val="20"/>
              </w:rPr>
              <w:t>分</w:t>
            </w:r>
          </w:p>
        </w:tc>
      </w:tr>
      <w:tr>
        <w:tblPrEx>
          <w:tblCellMar>
            <w:top w:w="15" w:type="dxa"/>
            <w:left w:w="15" w:type="dxa"/>
            <w:bottom w:w="15" w:type="dxa"/>
            <w:right w:w="15" w:type="dxa"/>
          </w:tblCellMar>
        </w:tblPrEx>
        <w:trPr>
          <w:trHeight w:val="70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创新创业活动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作为观众参加创新创业活动（创新创业讲座、座谈、学习活动）每次可</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p>
        </w:tc>
      </w:tr>
      <w:tr>
        <w:tblPrEx>
          <w:tblCellMar>
            <w:top w:w="15" w:type="dxa"/>
            <w:left w:w="15" w:type="dxa"/>
            <w:bottom w:w="15" w:type="dxa"/>
            <w:right w:w="15" w:type="dxa"/>
          </w:tblCellMar>
        </w:tblPrEx>
        <w:trPr>
          <w:trHeight w:val="1996" w:hRule="atLeast"/>
          <w:jc w:val="center"/>
        </w:trPr>
        <w:tc>
          <w:tcPr>
            <w:tcW w:w="817"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文艺体育（</w:t>
            </w:r>
            <w:r>
              <w:rPr>
                <w:rFonts w:ascii="Times New Roman" w:hAnsi="Times New Roman"/>
                <w:color w:val="000000"/>
                <w:kern w:val="0"/>
                <w:sz w:val="20"/>
                <w:szCs w:val="20"/>
              </w:rPr>
              <w:t>得</w:t>
            </w:r>
            <w:r>
              <w:rPr>
                <w:rFonts w:hint="eastAsia" w:ascii="Times New Roman" w:hAnsi="Times New Roman"/>
                <w:color w:val="000000"/>
                <w:kern w:val="0"/>
                <w:sz w:val="20"/>
                <w:szCs w:val="20"/>
              </w:rPr>
              <w:t>分至少</w:t>
            </w:r>
            <w:r>
              <w:rPr>
                <w:rFonts w:ascii="Times New Roman" w:hAnsi="Times New Roman"/>
                <w:color w:val="000000"/>
                <w:kern w:val="0"/>
                <w:sz w:val="20"/>
                <w:szCs w:val="20"/>
              </w:rPr>
              <w:t>0.</w:t>
            </w:r>
            <w:r>
              <w:rPr>
                <w:rFonts w:hint="eastAsia" w:ascii="Times New Roman" w:hAnsi="Times New Roman"/>
                <w:color w:val="000000"/>
                <w:kern w:val="0"/>
                <w:sz w:val="20"/>
                <w:szCs w:val="20"/>
              </w:rPr>
              <w:t>3分以上方可认定学分，低于</w:t>
            </w:r>
            <w:r>
              <w:rPr>
                <w:rFonts w:ascii="Times New Roman" w:hAnsi="Times New Roman"/>
                <w:color w:val="000000"/>
                <w:kern w:val="0"/>
                <w:sz w:val="20"/>
                <w:szCs w:val="20"/>
              </w:rPr>
              <w:t>0.</w:t>
            </w:r>
            <w:r>
              <w:rPr>
                <w:rFonts w:hint="eastAsia" w:ascii="Times New Roman" w:hAnsi="Times New Roman"/>
                <w:color w:val="000000"/>
                <w:kern w:val="0"/>
                <w:sz w:val="20"/>
                <w:szCs w:val="20"/>
              </w:rPr>
              <w:t>3分不予以认定学分）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文化艺术活动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kern w:val="0"/>
                <w:sz w:val="20"/>
                <w:szCs w:val="20"/>
              </w:rPr>
            </w:pPr>
            <w:r>
              <w:rPr>
                <w:rFonts w:hint="eastAsia" w:ascii="Times New Roman" w:hAnsi="Times New Roman"/>
                <w:color w:val="000000"/>
                <w:kern w:val="0"/>
                <w:sz w:val="20"/>
                <w:szCs w:val="20"/>
              </w:rPr>
              <w:t>作为观众参与院、系文化艺术活动（含比赛）每次</w:t>
            </w:r>
            <w:r>
              <w:rPr>
                <w:rFonts w:ascii="Times New Roman" w:hAnsi="Times New Roman"/>
                <w:color w:val="000000"/>
                <w:kern w:val="0"/>
                <w:sz w:val="20"/>
                <w:szCs w:val="20"/>
              </w:rPr>
              <w:t>得0.</w:t>
            </w:r>
            <w:r>
              <w:rPr>
                <w:rFonts w:hint="eastAsia" w:ascii="Times New Roman" w:hAnsi="Times New Roman"/>
                <w:color w:val="000000"/>
                <w:kern w:val="0"/>
                <w:sz w:val="20"/>
                <w:szCs w:val="20"/>
              </w:rPr>
              <w:t>1分；申请参加院、系文化艺术活动（含比赛）每次</w:t>
            </w:r>
            <w:r>
              <w:rPr>
                <w:rFonts w:ascii="Times New Roman" w:hAnsi="Times New Roman"/>
                <w:color w:val="000000"/>
                <w:kern w:val="0"/>
                <w:sz w:val="20"/>
                <w:szCs w:val="20"/>
              </w:rPr>
              <w:t>得0.</w:t>
            </w:r>
            <w:r>
              <w:rPr>
                <w:rFonts w:hint="eastAsia" w:ascii="Times New Roman" w:hAnsi="Times New Roman"/>
                <w:color w:val="000000"/>
                <w:kern w:val="0"/>
                <w:sz w:val="20"/>
                <w:szCs w:val="20"/>
              </w:rPr>
              <w:t>1分；参与国家级、省级、市级、院级、系级文化艺术活动演出或表演（非比赛）分别</w:t>
            </w:r>
            <w:r>
              <w:rPr>
                <w:rFonts w:ascii="Times New Roman" w:hAnsi="Times New Roman"/>
                <w:color w:val="000000"/>
                <w:kern w:val="0"/>
                <w:sz w:val="20"/>
                <w:szCs w:val="20"/>
              </w:rPr>
              <w:t>得0.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2分；参与系级文艺活动比赛并获得一等奖、二等奖、三等奖、优秀奖分别可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2分；院级文艺活动比赛并获得一等奖、二等奖、三等奖、优秀奖分别可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7分、</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4分；参加国家级、省级文艺活动比赛并获得一等奖、二等奖、三等奖、优秀奖</w:t>
            </w:r>
            <w:r>
              <w:rPr>
                <w:rFonts w:ascii="Times New Roman" w:hAnsi="Times New Roman"/>
                <w:color w:val="000000"/>
                <w:kern w:val="0"/>
                <w:sz w:val="20"/>
                <w:szCs w:val="20"/>
              </w:rPr>
              <w:t>分别可得</w:t>
            </w:r>
            <w:r>
              <w:rPr>
                <w:rFonts w:hint="eastAsia" w:ascii="Times New Roman" w:hAnsi="Times New Roman"/>
                <w:color w:val="000000"/>
                <w:kern w:val="0"/>
                <w:sz w:val="20"/>
                <w:szCs w:val="20"/>
              </w:rPr>
              <w:t>1</w:t>
            </w:r>
            <w:r>
              <w:rPr>
                <w:rFonts w:ascii="Times New Roman" w:hAnsi="Times New Roman"/>
                <w:color w:val="000000"/>
                <w:kern w:val="0"/>
                <w:sz w:val="20"/>
                <w:szCs w:val="20"/>
              </w:rPr>
              <w:t>.</w:t>
            </w:r>
            <w:r>
              <w:rPr>
                <w:rFonts w:hint="eastAsia" w:ascii="Times New Roman" w:hAnsi="Times New Roman"/>
                <w:color w:val="000000"/>
                <w:kern w:val="0"/>
                <w:sz w:val="20"/>
                <w:szCs w:val="20"/>
              </w:rPr>
              <w:t>5分、1分、</w:t>
            </w:r>
            <w:r>
              <w:rPr>
                <w:rFonts w:ascii="Times New Roman" w:hAnsi="Times New Roman"/>
                <w:color w:val="000000"/>
                <w:kern w:val="0"/>
                <w:sz w:val="20"/>
                <w:szCs w:val="20"/>
              </w:rPr>
              <w:t>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8分。</w:t>
            </w:r>
          </w:p>
        </w:tc>
      </w:tr>
      <w:tr>
        <w:tblPrEx>
          <w:tblCellMar>
            <w:top w:w="15" w:type="dxa"/>
            <w:left w:w="15" w:type="dxa"/>
            <w:bottom w:w="15" w:type="dxa"/>
            <w:right w:w="15" w:type="dxa"/>
          </w:tblCellMar>
        </w:tblPrEx>
        <w:trPr>
          <w:trHeight w:val="1831" w:hRule="atLeast"/>
          <w:jc w:val="center"/>
        </w:trPr>
        <w:tc>
          <w:tcPr>
            <w:tcW w:w="817" w:type="dxa"/>
            <w:vMerge w:val="continue"/>
            <w:tcBorders>
              <w:left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体育运动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报名参加校园体育活动可</w:t>
            </w:r>
            <w:r>
              <w:rPr>
                <w:rFonts w:ascii="Times New Roman" w:hAnsi="Times New Roman"/>
                <w:color w:val="000000"/>
                <w:kern w:val="0"/>
                <w:sz w:val="20"/>
                <w:szCs w:val="20"/>
              </w:rPr>
              <w:t>得0.</w:t>
            </w:r>
            <w:r>
              <w:rPr>
                <w:rFonts w:hint="eastAsia" w:ascii="Times New Roman" w:hAnsi="Times New Roman"/>
                <w:color w:val="000000"/>
                <w:kern w:val="0"/>
                <w:sz w:val="20"/>
                <w:szCs w:val="20"/>
              </w:rPr>
              <w:t>1分；参加系级体育活动并获得一等奖、二等奖、三等奖、优秀奖分别可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2分；参加院级体育活动并获得一等奖、二等奖、三等奖、优秀奖分别可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7分、</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4分；参加省级和市级体育活动并获得一等奖、二等奖、三等奖、优秀奖分别可</w:t>
            </w:r>
            <w:r>
              <w:rPr>
                <w:rFonts w:ascii="Times New Roman" w:hAnsi="Times New Roman"/>
                <w:color w:val="000000"/>
                <w:kern w:val="0"/>
                <w:sz w:val="20"/>
                <w:szCs w:val="20"/>
              </w:rPr>
              <w:t>得</w:t>
            </w:r>
            <w:r>
              <w:rPr>
                <w:rFonts w:hint="eastAsia" w:ascii="Times New Roman" w:hAnsi="Times New Roman"/>
                <w:color w:val="000000"/>
                <w:kern w:val="0"/>
                <w:sz w:val="20"/>
                <w:szCs w:val="20"/>
              </w:rPr>
              <w:t>1分、</w:t>
            </w:r>
            <w:r>
              <w:rPr>
                <w:rFonts w:ascii="Times New Roman" w:hAnsi="Times New Roman"/>
                <w:color w:val="000000"/>
                <w:kern w:val="0"/>
                <w:sz w:val="20"/>
                <w:szCs w:val="20"/>
              </w:rPr>
              <w:t>0.8</w:t>
            </w:r>
            <w:r>
              <w:rPr>
                <w:rFonts w:hint="eastAsia" w:ascii="Times New Roman" w:hAnsi="Times New Roman"/>
                <w:color w:val="000000"/>
                <w:kern w:val="0"/>
                <w:sz w:val="20"/>
                <w:szCs w:val="20"/>
              </w:rPr>
              <w:t>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3分；参加国家级比赛可</w:t>
            </w:r>
            <w:r>
              <w:rPr>
                <w:rFonts w:ascii="Times New Roman" w:hAnsi="Times New Roman"/>
                <w:color w:val="000000"/>
                <w:kern w:val="0"/>
                <w:sz w:val="20"/>
                <w:szCs w:val="20"/>
              </w:rPr>
              <w:t>得</w:t>
            </w:r>
            <w:r>
              <w:rPr>
                <w:rFonts w:hint="eastAsia" w:ascii="Times New Roman" w:hAnsi="Times New Roman"/>
                <w:color w:val="000000"/>
                <w:kern w:val="0"/>
                <w:sz w:val="20"/>
                <w:szCs w:val="20"/>
              </w:rPr>
              <w:t>1</w:t>
            </w:r>
            <w:r>
              <w:rPr>
                <w:rFonts w:ascii="Times New Roman" w:hAnsi="Times New Roman"/>
                <w:color w:val="000000"/>
                <w:kern w:val="0"/>
                <w:sz w:val="20"/>
                <w:szCs w:val="20"/>
              </w:rPr>
              <w:t>.</w:t>
            </w:r>
            <w:r>
              <w:rPr>
                <w:rFonts w:hint="eastAsia" w:ascii="Times New Roman" w:hAnsi="Times New Roman"/>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8分</w:t>
            </w:r>
          </w:p>
        </w:tc>
      </w:tr>
      <w:tr>
        <w:tblPrEx>
          <w:tblCellMar>
            <w:top w:w="15" w:type="dxa"/>
            <w:left w:w="15" w:type="dxa"/>
            <w:bottom w:w="15" w:type="dxa"/>
            <w:right w:w="15" w:type="dxa"/>
          </w:tblCellMar>
        </w:tblPrEx>
        <w:trPr>
          <w:trHeight w:val="992" w:hRule="atLeast"/>
          <w:jc w:val="center"/>
        </w:trPr>
        <w:tc>
          <w:tcPr>
            <w:tcW w:w="817" w:type="dxa"/>
            <w:vMerge w:val="continue"/>
            <w:tcBorders>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班级素质教育活动课</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学期素质教育活动课出勤率达100%可</w:t>
            </w:r>
            <w:r>
              <w:rPr>
                <w:rFonts w:ascii="Times New Roman" w:hAnsi="Times New Roman"/>
                <w:color w:val="000000"/>
                <w:kern w:val="0"/>
                <w:sz w:val="20"/>
                <w:szCs w:val="20"/>
              </w:rPr>
              <w:t>得0.</w:t>
            </w:r>
            <w:r>
              <w:rPr>
                <w:rFonts w:hint="eastAsia" w:ascii="Times New Roman" w:hAnsi="Times New Roman"/>
                <w:color w:val="000000"/>
                <w:kern w:val="0"/>
                <w:sz w:val="20"/>
                <w:szCs w:val="20"/>
              </w:rPr>
              <w:t>2分，参与素质教育活动课演出或表演每次</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p>
        </w:tc>
      </w:tr>
      <w:tr>
        <w:tblPrEx>
          <w:tblCellMar>
            <w:top w:w="15" w:type="dxa"/>
            <w:left w:w="15" w:type="dxa"/>
            <w:bottom w:w="15" w:type="dxa"/>
            <w:right w:w="15" w:type="dxa"/>
          </w:tblCellMar>
        </w:tblPrEx>
        <w:trPr>
          <w:trHeight w:val="1116"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社会工作</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社团组织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积极参加社团活动成为社团成员学期考核合格者可</w:t>
            </w:r>
            <w:r>
              <w:rPr>
                <w:rFonts w:ascii="Times New Roman" w:hAnsi="Times New Roman"/>
                <w:color w:val="000000"/>
                <w:kern w:val="0"/>
                <w:sz w:val="20"/>
                <w:szCs w:val="20"/>
              </w:rPr>
              <w:t>得0.</w:t>
            </w:r>
            <w:r>
              <w:rPr>
                <w:rFonts w:hint="eastAsia" w:ascii="Times New Roman" w:hAnsi="Times New Roman"/>
                <w:color w:val="000000"/>
                <w:kern w:val="0"/>
                <w:sz w:val="20"/>
                <w:szCs w:val="20"/>
              </w:rPr>
              <w:t>1分、社团负责人考核合格</w:t>
            </w:r>
            <w:r>
              <w:rPr>
                <w:rFonts w:ascii="Times New Roman" w:hAnsi="Times New Roman"/>
                <w:color w:val="000000"/>
                <w:kern w:val="0"/>
                <w:sz w:val="20"/>
                <w:szCs w:val="20"/>
              </w:rPr>
              <w:t>得0.</w:t>
            </w:r>
            <w:r>
              <w:rPr>
                <w:rFonts w:hint="eastAsia" w:ascii="Times New Roman" w:hAnsi="Times New Roman"/>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p>
        </w:tc>
      </w:tr>
      <w:tr>
        <w:tblPrEx>
          <w:tblCellMar>
            <w:top w:w="15" w:type="dxa"/>
            <w:left w:w="15" w:type="dxa"/>
            <w:bottom w:w="15" w:type="dxa"/>
            <w:right w:w="15" w:type="dxa"/>
          </w:tblCellMar>
        </w:tblPrEx>
        <w:trPr>
          <w:trHeight w:val="1267"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kern w:val="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kern w:val="0"/>
                <w:sz w:val="20"/>
                <w:szCs w:val="20"/>
              </w:rPr>
            </w:pPr>
            <w:r>
              <w:rPr>
                <w:rFonts w:hint="eastAsia" w:ascii="Times New Roman" w:hAnsi="Times New Roman"/>
                <w:color w:val="000000"/>
                <w:kern w:val="0"/>
                <w:sz w:val="20"/>
                <w:szCs w:val="20"/>
              </w:rPr>
              <w:t>志愿服务组织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kern w:val="0"/>
                <w:sz w:val="20"/>
                <w:szCs w:val="20"/>
              </w:rPr>
            </w:pPr>
            <w:r>
              <w:rPr>
                <w:rFonts w:hint="eastAsia" w:ascii="Times New Roman" w:hAnsi="Times New Roman"/>
                <w:color w:val="000000"/>
                <w:kern w:val="0"/>
                <w:sz w:val="20"/>
                <w:szCs w:val="20"/>
              </w:rPr>
              <w:t>成为院、系志愿服务组织成员学期考核合格</w:t>
            </w:r>
            <w:r>
              <w:rPr>
                <w:rFonts w:ascii="Times New Roman" w:hAnsi="Times New Roman"/>
                <w:color w:val="000000"/>
                <w:kern w:val="0"/>
                <w:sz w:val="20"/>
                <w:szCs w:val="20"/>
              </w:rPr>
              <w:t>得0.</w:t>
            </w:r>
            <w:r>
              <w:rPr>
                <w:rFonts w:hint="eastAsia" w:ascii="Times New Roman" w:hAnsi="Times New Roman"/>
                <w:color w:val="000000"/>
                <w:kern w:val="0"/>
                <w:sz w:val="20"/>
                <w:szCs w:val="20"/>
              </w:rPr>
              <w:t>1分，团队负责人考核合格</w:t>
            </w:r>
            <w:r>
              <w:rPr>
                <w:rFonts w:ascii="Times New Roman" w:hAnsi="Times New Roman"/>
                <w:color w:val="000000"/>
                <w:kern w:val="0"/>
                <w:sz w:val="20"/>
                <w:szCs w:val="20"/>
              </w:rPr>
              <w:t>得0.</w:t>
            </w:r>
            <w:r>
              <w:rPr>
                <w:rFonts w:hint="eastAsia" w:ascii="Times New Roman" w:hAnsi="Times New Roman"/>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p>
        </w:tc>
      </w:tr>
      <w:tr>
        <w:tblPrEx>
          <w:tblCellMar>
            <w:top w:w="15" w:type="dxa"/>
            <w:left w:w="15" w:type="dxa"/>
            <w:bottom w:w="15" w:type="dxa"/>
            <w:right w:w="15" w:type="dxa"/>
          </w:tblCellMar>
        </w:tblPrEx>
        <w:trPr>
          <w:trHeight w:val="1621"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学生干部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lang w:bidi="ar"/>
              </w:rPr>
              <w:t>担任班级班长或团支书考核合格可</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15分，担任班级其他干部考核合格可</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1分；担任辅导员助理考核合格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25分；担任系分团委学生分会副书记及主席考核合格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35分，副主席及部长（含副部长）考核合格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25分，干事考核合格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1分；担任院级团学组织副书记和主席考核合格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5分、副主席及部长（含副部长）考核合格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35分、干事考核合格</w:t>
            </w:r>
            <w:r>
              <w:rPr>
                <w:rFonts w:ascii="Times New Roman" w:hAnsi="Times New Roman"/>
                <w:color w:val="000000"/>
                <w:kern w:val="0"/>
                <w:sz w:val="20"/>
                <w:szCs w:val="20"/>
                <w:lang w:bidi="ar"/>
              </w:rPr>
              <w:t>得0.</w:t>
            </w:r>
            <w:r>
              <w:rPr>
                <w:rFonts w:hint="eastAsia" w:ascii="Times New Roman" w:hAnsi="Times New Roman"/>
                <w:color w:val="000000"/>
                <w:kern w:val="0"/>
                <w:sz w:val="20"/>
                <w:szCs w:val="20"/>
                <w:lang w:bidi="ar"/>
              </w:rPr>
              <w:t>1分；</w:t>
            </w:r>
            <w:r>
              <w:rPr>
                <w:rFonts w:hint="eastAsia" w:ascii="Times New Roman" w:hAnsi="Times New Roman"/>
                <w:color w:val="000000"/>
                <w:sz w:val="20"/>
                <w:szCs w:val="20"/>
              </w:rPr>
              <w:t xml:space="preserve"> </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5分，学生干部身份不可重复积分；</w:t>
            </w:r>
          </w:p>
        </w:tc>
      </w:tr>
      <w:tr>
        <w:tblPrEx>
          <w:tblCellMar>
            <w:top w:w="15" w:type="dxa"/>
            <w:left w:w="15" w:type="dxa"/>
            <w:bottom w:w="15" w:type="dxa"/>
            <w:right w:w="15" w:type="dxa"/>
          </w:tblCellMar>
        </w:tblPrEx>
        <w:trPr>
          <w:trHeight w:val="1378"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专业性团队组织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担任专业性团队负责人考核个</w:t>
            </w:r>
            <w:r>
              <w:rPr>
                <w:rFonts w:ascii="Times New Roman" w:hAnsi="Times New Roman"/>
                <w:color w:val="000000"/>
                <w:kern w:val="0"/>
                <w:sz w:val="20"/>
                <w:szCs w:val="20"/>
              </w:rPr>
              <w:t>得0.</w:t>
            </w:r>
            <w:r>
              <w:rPr>
                <w:rFonts w:hint="eastAsia" w:ascii="Times New Roman" w:hAnsi="Times New Roman"/>
                <w:color w:val="000000"/>
                <w:kern w:val="0"/>
                <w:sz w:val="20"/>
                <w:szCs w:val="20"/>
              </w:rPr>
              <w:t>35分，参与院级专业型团队考核合格</w:t>
            </w:r>
            <w:r>
              <w:rPr>
                <w:rFonts w:ascii="Times New Roman" w:hAnsi="Times New Roman"/>
                <w:color w:val="000000"/>
                <w:kern w:val="0"/>
                <w:sz w:val="20"/>
                <w:szCs w:val="20"/>
              </w:rPr>
              <w:t>得0.</w:t>
            </w:r>
            <w:r>
              <w:rPr>
                <w:rFonts w:hint="eastAsia" w:ascii="Times New Roman" w:hAnsi="Times New Roman"/>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院级专业性团队组织包括：大学生艺术团、礼仪队、国旗班、院篮球队、院啦啦操队等。</w:t>
            </w:r>
          </w:p>
        </w:tc>
      </w:tr>
      <w:tr>
        <w:tblPrEx>
          <w:tblCellMar>
            <w:top w:w="15" w:type="dxa"/>
            <w:left w:w="15" w:type="dxa"/>
            <w:bottom w:w="15" w:type="dxa"/>
            <w:right w:w="15" w:type="dxa"/>
          </w:tblCellMar>
        </w:tblPrEx>
        <w:trPr>
          <w:trHeight w:val="1726"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技能培训</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职业技术培训</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参加各种专业技术培训并获得相应证书每人每项可</w:t>
            </w:r>
            <w:r>
              <w:rPr>
                <w:rFonts w:ascii="Times New Roman" w:hAnsi="Times New Roman"/>
                <w:color w:val="000000"/>
                <w:kern w:val="0"/>
                <w:sz w:val="20"/>
                <w:szCs w:val="20"/>
              </w:rPr>
              <w:t>得</w:t>
            </w:r>
            <w:r>
              <w:rPr>
                <w:rFonts w:hint="eastAsia" w:ascii="Times New Roman" w:hAnsi="Times New Roman"/>
                <w:color w:val="000000"/>
                <w:kern w:val="0"/>
                <w:sz w:val="20"/>
                <w:szCs w:val="20"/>
              </w:rPr>
              <w:t>0.</w:t>
            </w:r>
            <w:r>
              <w:rPr>
                <w:rFonts w:ascii="Times New Roman" w:hAnsi="Times New Roman"/>
                <w:color w:val="000000"/>
                <w:kern w:val="0"/>
                <w:sz w:val="20"/>
                <w:szCs w:val="20"/>
              </w:rPr>
              <w:t>2</w:t>
            </w:r>
            <w:r>
              <w:rPr>
                <w:rFonts w:hint="eastAsia" w:ascii="Times New Roman" w:hAnsi="Times New Roman"/>
                <w:color w:val="000000"/>
                <w:kern w:val="0"/>
                <w:sz w:val="20"/>
                <w:szCs w:val="20"/>
              </w:rPr>
              <w:t>5分（包括英语、计算机）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需国家认可、人力资源和社会保障局颁发的证书。例如会计师证、教师资格证、心理咨询师证、电气工程师证等。</w:t>
            </w:r>
          </w:p>
        </w:tc>
      </w:tr>
      <w:tr>
        <w:tblPrEx>
          <w:tblCellMar>
            <w:top w:w="15" w:type="dxa"/>
            <w:left w:w="15" w:type="dxa"/>
            <w:bottom w:w="15" w:type="dxa"/>
            <w:right w:w="15" w:type="dxa"/>
          </w:tblCellMar>
        </w:tblPrEx>
        <w:trPr>
          <w:trHeight w:val="1489"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专业技能及就业培训活动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参加学校组织的与专业相关的技能竞赛活动可</w:t>
            </w:r>
            <w:r>
              <w:rPr>
                <w:rFonts w:ascii="Times New Roman" w:hAnsi="Times New Roman"/>
                <w:color w:val="000000"/>
                <w:kern w:val="0"/>
                <w:sz w:val="20"/>
                <w:szCs w:val="20"/>
              </w:rPr>
              <w:t>得0.</w:t>
            </w:r>
            <w:r>
              <w:rPr>
                <w:rFonts w:hint="eastAsia" w:ascii="Times New Roman" w:hAnsi="Times New Roman"/>
                <w:color w:val="000000"/>
                <w:kern w:val="0"/>
                <w:sz w:val="20"/>
                <w:szCs w:val="20"/>
              </w:rPr>
              <w:t>1分；获一等奖、二等奖、三等奖、优秀奖分别可</w:t>
            </w:r>
            <w:r>
              <w:rPr>
                <w:rFonts w:ascii="Times New Roman" w:hAnsi="Times New Roman"/>
                <w:color w:val="000000"/>
                <w:kern w:val="0"/>
                <w:sz w:val="20"/>
                <w:szCs w:val="20"/>
              </w:rPr>
              <w:t>得0.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2分、</w:t>
            </w:r>
            <w:r>
              <w:rPr>
                <w:rFonts w:ascii="Times New Roman" w:hAnsi="Times New Roman"/>
                <w:color w:val="000000"/>
                <w:kern w:val="0"/>
                <w:sz w:val="20"/>
                <w:szCs w:val="20"/>
              </w:rPr>
              <w:t>0.1</w:t>
            </w:r>
            <w:r>
              <w:rPr>
                <w:rFonts w:hint="eastAsia" w:ascii="Times New Roman" w:hAnsi="Times New Roman"/>
                <w:color w:val="000000"/>
                <w:kern w:val="0"/>
                <w:sz w:val="20"/>
                <w:szCs w:val="20"/>
              </w:rPr>
              <w:t>5分；积极参加职业规划、就业创业培训，考核合格每次</w:t>
            </w:r>
            <w:r>
              <w:rPr>
                <w:rFonts w:ascii="Times New Roman" w:hAnsi="Times New Roman"/>
                <w:color w:val="000000"/>
                <w:kern w:val="0"/>
                <w:sz w:val="20"/>
                <w:szCs w:val="20"/>
              </w:rPr>
              <w:t>得0.</w:t>
            </w:r>
            <w:r>
              <w:rPr>
                <w:rFonts w:hint="eastAsia" w:ascii="Times New Roman" w:hAnsi="Times New Roman"/>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p>
        </w:tc>
      </w:tr>
      <w:tr>
        <w:tblPrEx>
          <w:tblCellMar>
            <w:top w:w="15" w:type="dxa"/>
            <w:left w:w="15" w:type="dxa"/>
            <w:bottom w:w="15" w:type="dxa"/>
            <w:right w:w="15" w:type="dxa"/>
          </w:tblCellMar>
        </w:tblPrEx>
        <w:trPr>
          <w:trHeight w:val="2364"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各类奖项加分类</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ind w:firstLine="300" w:firstLineChars="150"/>
              <w:textAlignment w:val="center"/>
              <w:rPr>
                <w:rFonts w:ascii="Times New Roman" w:hAnsi="Times New Roman"/>
                <w:color w:val="000000"/>
                <w:sz w:val="20"/>
                <w:szCs w:val="20"/>
              </w:rPr>
            </w:pPr>
            <w:r>
              <w:rPr>
                <w:rFonts w:hint="eastAsia" w:ascii="Times New Roman" w:hAnsi="Times New Roman"/>
                <w:color w:val="000000"/>
                <w:kern w:val="0"/>
                <w:sz w:val="20"/>
                <w:szCs w:val="20"/>
              </w:rPr>
              <w:t>先进个人表彰</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荣获国家、省、市、院、系级优秀学生干部、优秀团干部奖项分别</w:t>
            </w:r>
            <w:r>
              <w:rPr>
                <w:rFonts w:ascii="Times New Roman" w:hAnsi="Times New Roman"/>
                <w:color w:val="000000"/>
                <w:kern w:val="0"/>
                <w:sz w:val="20"/>
                <w:szCs w:val="20"/>
              </w:rPr>
              <w:t>得0.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2分；荣获国家、省、市、院、系级三好学生、优秀学生、优秀共青团员奖项分别</w:t>
            </w:r>
            <w:r>
              <w:rPr>
                <w:rFonts w:ascii="Times New Roman" w:hAnsi="Times New Roman"/>
                <w:color w:val="000000"/>
                <w:kern w:val="0"/>
                <w:sz w:val="20"/>
                <w:szCs w:val="20"/>
              </w:rPr>
              <w:t>得0.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3分、</w:t>
            </w:r>
            <w:r>
              <w:rPr>
                <w:rFonts w:ascii="Times New Roman" w:hAnsi="Times New Roman"/>
                <w:color w:val="000000"/>
                <w:kern w:val="0"/>
                <w:sz w:val="20"/>
                <w:szCs w:val="20"/>
              </w:rPr>
              <w:t>0.</w:t>
            </w:r>
            <w:r>
              <w:rPr>
                <w:rFonts w:hint="eastAsia" w:ascii="Times New Roman" w:hAnsi="Times New Roman"/>
                <w:color w:val="000000"/>
                <w:kern w:val="0"/>
                <w:sz w:val="20"/>
                <w:szCs w:val="20"/>
              </w:rPr>
              <w:t>1分；荣获其他类别个人奖项按国家、省、市、院、系级分别</w:t>
            </w:r>
            <w:r>
              <w:rPr>
                <w:rFonts w:ascii="Times New Roman" w:hAnsi="Times New Roman"/>
                <w:color w:val="000000"/>
                <w:kern w:val="0"/>
                <w:sz w:val="20"/>
                <w:szCs w:val="20"/>
              </w:rPr>
              <w:t>得0.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4分、</w:t>
            </w:r>
            <w:r>
              <w:rPr>
                <w:rFonts w:ascii="Times New Roman" w:hAnsi="Times New Roman"/>
                <w:color w:val="000000"/>
                <w:kern w:val="0"/>
                <w:sz w:val="20"/>
                <w:szCs w:val="20"/>
              </w:rPr>
              <w:t>0.</w:t>
            </w:r>
            <w:r>
              <w:rPr>
                <w:rFonts w:hint="eastAsia" w:ascii="Times New Roman" w:hAnsi="Times New Roman"/>
                <w:color w:val="000000"/>
                <w:kern w:val="0"/>
                <w:sz w:val="20"/>
                <w:szCs w:val="20"/>
              </w:rPr>
              <w:t>2分、</w:t>
            </w:r>
            <w:r>
              <w:rPr>
                <w:rFonts w:ascii="Times New Roman" w:hAnsi="Times New Roman"/>
                <w:color w:val="000000"/>
                <w:kern w:val="0"/>
                <w:sz w:val="20"/>
                <w:szCs w:val="20"/>
              </w:rPr>
              <w:t>0.</w:t>
            </w:r>
            <w:r>
              <w:rPr>
                <w:rFonts w:hint="eastAsia" w:ascii="Times New Roman" w:hAnsi="Times New Roman"/>
                <w:color w:val="000000"/>
                <w:kern w:val="0"/>
                <w:sz w:val="20"/>
                <w:szCs w:val="20"/>
              </w:rPr>
              <w:t>1分、0.</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hint="eastAsia" w:ascii="Times New Roman" w:hAnsi="Times New Roman"/>
                <w:color w:val="000000"/>
                <w:sz w:val="20"/>
                <w:szCs w:val="20"/>
              </w:rPr>
              <w:t xml:space="preserve"> </w:t>
            </w:r>
          </w:p>
        </w:tc>
        <w:tc>
          <w:tcPr>
            <w:tcW w:w="1574" w:type="dxa"/>
            <w:vMerge w:val="restart"/>
            <w:tcBorders>
              <w:top w:val="single" w:color="000000" w:sz="4" w:space="0"/>
              <w:left w:val="single" w:color="000000" w:sz="4" w:space="0"/>
              <w:right w:val="single" w:color="000000" w:sz="4" w:space="0"/>
            </w:tcBorders>
            <w:vAlign w:val="center"/>
          </w:tcPr>
          <w:p>
            <w:pPr>
              <w:widowControl/>
              <w:jc w:val="left"/>
              <w:textAlignment w:val="center"/>
              <w:rPr>
                <w:rFonts w:ascii="Times New Roman" w:hAnsi="Times New Roman"/>
                <w:color w:val="000000"/>
                <w:sz w:val="20"/>
                <w:szCs w:val="20"/>
              </w:rPr>
            </w:pPr>
            <w:r>
              <w:rPr>
                <w:rFonts w:hint="eastAsia" w:ascii="Times New Roman" w:hAnsi="Times New Roman"/>
                <w:color w:val="000000"/>
                <w:kern w:val="0"/>
                <w:sz w:val="20"/>
                <w:szCs w:val="20"/>
              </w:rPr>
              <w:t>累</w:t>
            </w:r>
            <w:r>
              <w:rPr>
                <w:rFonts w:ascii="Times New Roman" w:hAnsi="Times New Roman"/>
                <w:color w:val="000000"/>
                <w:kern w:val="0"/>
                <w:sz w:val="20"/>
                <w:szCs w:val="20"/>
              </w:rPr>
              <w:t>计</w:t>
            </w:r>
            <w:r>
              <w:rPr>
                <w:rFonts w:hint="eastAsia" w:ascii="Times New Roman" w:hAnsi="Times New Roman"/>
                <w:color w:val="000000"/>
                <w:kern w:val="0"/>
                <w:sz w:val="20"/>
                <w:szCs w:val="20"/>
              </w:rPr>
              <w:t>加分，同项以最高为准。该项每学期上限为</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p>
        </w:tc>
      </w:tr>
      <w:tr>
        <w:tblPrEx>
          <w:tblCellMar>
            <w:top w:w="15" w:type="dxa"/>
            <w:left w:w="15" w:type="dxa"/>
            <w:bottom w:w="15" w:type="dxa"/>
            <w:right w:w="15" w:type="dxa"/>
          </w:tblCellMar>
        </w:tblPrEx>
        <w:trPr>
          <w:trHeight w:val="227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0"/>
                <w:szCs w:val="20"/>
              </w:rPr>
            </w:pPr>
            <w:r>
              <w:rPr>
                <w:rFonts w:hint="eastAsia" w:ascii="Times New Roman" w:hAnsi="Times New Roman"/>
                <w:color w:val="000000"/>
                <w:kern w:val="0"/>
                <w:sz w:val="20"/>
                <w:szCs w:val="20"/>
              </w:rPr>
              <w:t>集体奖项</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Times New Roman"/>
                <w:color w:val="000000"/>
                <w:kern w:val="0"/>
                <w:sz w:val="20"/>
                <w:szCs w:val="20"/>
              </w:rPr>
            </w:pPr>
            <w:r>
              <w:rPr>
                <w:rFonts w:hint="eastAsia" w:ascii="Times New Roman" w:hAnsi="Times New Roman"/>
                <w:color w:val="000000"/>
                <w:kern w:val="0"/>
                <w:sz w:val="20"/>
                <w:szCs w:val="20"/>
              </w:rPr>
              <w:t>所在班级或团支部荣获国家、省、市、院、系级优秀班集体、五四红旗团支部奖项每人</w:t>
            </w:r>
            <w:r>
              <w:rPr>
                <w:rFonts w:ascii="Times New Roman" w:hAnsi="Times New Roman"/>
                <w:color w:val="000000"/>
                <w:kern w:val="0"/>
                <w:sz w:val="20"/>
                <w:szCs w:val="20"/>
              </w:rPr>
              <w:t>得0.</w:t>
            </w:r>
            <w:r>
              <w:rPr>
                <w:rFonts w:hint="eastAsia" w:ascii="Times New Roman" w:hAnsi="Times New Roman"/>
                <w:color w:val="000000"/>
                <w:kern w:val="0"/>
                <w:sz w:val="20"/>
                <w:szCs w:val="20"/>
              </w:rPr>
              <w:t>25分、</w:t>
            </w:r>
            <w:r>
              <w:rPr>
                <w:rFonts w:ascii="Times New Roman" w:hAnsi="Times New Roman"/>
                <w:color w:val="000000"/>
                <w:kern w:val="0"/>
                <w:sz w:val="20"/>
                <w:szCs w:val="20"/>
              </w:rPr>
              <w:t>0.</w:t>
            </w:r>
            <w:r>
              <w:rPr>
                <w:rFonts w:hint="eastAsia" w:ascii="Times New Roman" w:hAnsi="Times New Roman"/>
                <w:color w:val="000000"/>
                <w:kern w:val="0"/>
                <w:sz w:val="20"/>
                <w:szCs w:val="20"/>
              </w:rPr>
              <w:t>2分、</w:t>
            </w:r>
            <w:r>
              <w:rPr>
                <w:rFonts w:ascii="Times New Roman" w:hAnsi="Times New Roman"/>
                <w:color w:val="000000"/>
                <w:kern w:val="0"/>
                <w:sz w:val="20"/>
                <w:szCs w:val="20"/>
              </w:rPr>
              <w:t>0.1</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1分、0.</w:t>
            </w:r>
            <w:r>
              <w:rPr>
                <w:rFonts w:ascii="Times New Roman" w:hAnsi="Times New Roman"/>
                <w:color w:val="000000"/>
                <w:kern w:val="0"/>
                <w:sz w:val="20"/>
                <w:szCs w:val="20"/>
              </w:rPr>
              <w:t>0</w:t>
            </w:r>
            <w:r>
              <w:rPr>
                <w:rFonts w:hint="eastAsia" w:ascii="Times New Roman" w:hAnsi="Times New Roman"/>
                <w:color w:val="000000"/>
                <w:kern w:val="0"/>
                <w:sz w:val="20"/>
                <w:szCs w:val="20"/>
              </w:rPr>
              <w:t>5分；宿舍荣获学院“文明寝室”室长</w:t>
            </w:r>
            <w:r>
              <w:rPr>
                <w:rFonts w:ascii="Times New Roman" w:hAnsi="Times New Roman"/>
                <w:color w:val="000000"/>
                <w:kern w:val="0"/>
                <w:sz w:val="20"/>
                <w:szCs w:val="20"/>
              </w:rPr>
              <w:t>得0.1</w:t>
            </w:r>
            <w:r>
              <w:rPr>
                <w:rFonts w:hint="eastAsia" w:ascii="Times New Roman" w:hAnsi="Times New Roman"/>
                <w:color w:val="000000"/>
                <w:kern w:val="0"/>
                <w:sz w:val="20"/>
                <w:szCs w:val="20"/>
              </w:rPr>
              <w:t>5分成员</w:t>
            </w:r>
            <w:r>
              <w:rPr>
                <w:rFonts w:ascii="Times New Roman" w:hAnsi="Times New Roman"/>
                <w:color w:val="000000"/>
                <w:kern w:val="0"/>
                <w:sz w:val="20"/>
                <w:szCs w:val="20"/>
              </w:rPr>
              <w:t>得0.</w:t>
            </w:r>
            <w:r>
              <w:rPr>
                <w:rFonts w:hint="eastAsia" w:ascii="Times New Roman" w:hAnsi="Times New Roman"/>
                <w:color w:val="000000"/>
                <w:kern w:val="0"/>
                <w:sz w:val="20"/>
                <w:szCs w:val="20"/>
              </w:rPr>
              <w:t>1分；所在集体荣获其他类别集体奖项按照国家、省、市、院、系级分别</w:t>
            </w:r>
            <w:r>
              <w:rPr>
                <w:rFonts w:ascii="Times New Roman" w:hAnsi="Times New Roman"/>
                <w:color w:val="000000"/>
                <w:kern w:val="0"/>
                <w:sz w:val="20"/>
                <w:szCs w:val="20"/>
              </w:rPr>
              <w:t>得0.</w:t>
            </w:r>
            <w:r>
              <w:rPr>
                <w:rFonts w:hint="eastAsia" w:ascii="Times New Roman" w:hAnsi="Times New Roman"/>
                <w:color w:val="000000"/>
                <w:kern w:val="0"/>
                <w:sz w:val="20"/>
                <w:szCs w:val="20"/>
              </w:rPr>
              <w:t>8分、</w:t>
            </w:r>
            <w:r>
              <w:rPr>
                <w:rFonts w:ascii="Times New Roman" w:hAnsi="Times New Roman"/>
                <w:color w:val="000000"/>
                <w:kern w:val="0"/>
                <w:sz w:val="20"/>
                <w:szCs w:val="20"/>
              </w:rPr>
              <w:t>0.</w:t>
            </w:r>
            <w:r>
              <w:rPr>
                <w:rFonts w:hint="eastAsia" w:ascii="Times New Roman" w:hAnsi="Times New Roman"/>
                <w:color w:val="000000"/>
                <w:kern w:val="0"/>
                <w:sz w:val="20"/>
                <w:szCs w:val="20"/>
              </w:rPr>
              <w:t>6分、</w:t>
            </w:r>
            <w:r>
              <w:rPr>
                <w:rFonts w:ascii="Times New Roman" w:hAnsi="Times New Roman"/>
                <w:color w:val="000000"/>
                <w:kern w:val="0"/>
                <w:sz w:val="20"/>
                <w:szCs w:val="20"/>
              </w:rPr>
              <w:t>0.</w:t>
            </w:r>
            <w:r>
              <w:rPr>
                <w:rFonts w:hint="eastAsia" w:ascii="Times New Roman" w:hAnsi="Times New Roman"/>
                <w:color w:val="000000"/>
                <w:kern w:val="0"/>
                <w:sz w:val="20"/>
                <w:szCs w:val="20"/>
              </w:rPr>
              <w:t>5分、</w:t>
            </w:r>
            <w:r>
              <w:rPr>
                <w:rFonts w:ascii="Times New Roman" w:hAnsi="Times New Roman"/>
                <w:color w:val="000000"/>
                <w:kern w:val="0"/>
                <w:sz w:val="20"/>
                <w:szCs w:val="20"/>
              </w:rPr>
              <w:t>0.</w:t>
            </w:r>
            <w:r>
              <w:rPr>
                <w:rFonts w:hint="eastAsia" w:ascii="Times New Roman" w:hAnsi="Times New Roman"/>
                <w:color w:val="000000"/>
                <w:kern w:val="0"/>
                <w:sz w:val="20"/>
                <w:szCs w:val="20"/>
              </w:rPr>
              <w:t>2分、</w:t>
            </w:r>
            <w:r>
              <w:rPr>
                <w:rFonts w:ascii="Times New Roman" w:hAnsi="Times New Roman"/>
                <w:color w:val="000000"/>
                <w:kern w:val="0"/>
                <w:sz w:val="20"/>
                <w:szCs w:val="20"/>
              </w:rPr>
              <w:t>0.</w:t>
            </w:r>
            <w:r>
              <w:rPr>
                <w:rFonts w:hint="eastAsia" w:ascii="Times New Roman" w:hAnsi="Times New Roman"/>
                <w:color w:val="000000"/>
                <w:kern w:val="0"/>
                <w:sz w:val="20"/>
                <w:szCs w:val="20"/>
              </w:rPr>
              <w:t>1分；</w:t>
            </w:r>
          </w:p>
        </w:tc>
        <w:tc>
          <w:tcPr>
            <w:tcW w:w="1574" w:type="dxa"/>
            <w:vMerge w:val="continue"/>
            <w:tcBorders>
              <w:left w:val="single" w:color="000000" w:sz="4" w:space="0"/>
              <w:bottom w:val="single" w:color="000000" w:sz="4" w:space="0"/>
              <w:right w:val="single" w:color="000000" w:sz="4" w:space="0"/>
            </w:tcBorders>
            <w:vAlign w:val="center"/>
          </w:tcPr>
          <w:p>
            <w:pPr>
              <w:jc w:val="left"/>
              <w:rPr>
                <w:rFonts w:ascii="Times New Roman" w:hAnsi="Times New Roman"/>
                <w:color w:val="000000"/>
                <w:sz w:val="20"/>
                <w:szCs w:val="20"/>
              </w:rPr>
            </w:pPr>
          </w:p>
        </w:tc>
      </w:tr>
    </w:tbl>
    <w:p>
      <w:pPr>
        <w:widowControl/>
        <w:textAlignment w:val="center"/>
        <w:rPr>
          <w:rFonts w:ascii="Times New Roman" w:hAnsi="Times New Roman" w:eastAsia="方正黑体_GBK" w:cs="方正黑体_GBK"/>
          <w:sz w:val="32"/>
          <w:szCs w:val="32"/>
        </w:rPr>
      </w:pPr>
      <w:r>
        <w:rPr>
          <w:rFonts w:hint="eastAsia" w:ascii="Times New Roman" w:hAnsi="Times New Roman" w:eastAsia="方正黑体_GBK" w:cs="方正黑体_GBK"/>
          <w:bCs/>
          <w:color w:val="000000"/>
          <w:kern w:val="0"/>
          <w:sz w:val="32"/>
          <w:szCs w:val="32"/>
        </w:rPr>
        <w:t>附件2</w:t>
      </w:r>
    </w:p>
    <w:tbl>
      <w:tblPr>
        <w:tblStyle w:val="7"/>
        <w:tblW w:w="8800" w:type="dxa"/>
        <w:tblInd w:w="0" w:type="dxa"/>
        <w:tblLayout w:type="fixed"/>
        <w:tblCellMar>
          <w:top w:w="15" w:type="dxa"/>
          <w:left w:w="15" w:type="dxa"/>
          <w:bottom w:w="15" w:type="dxa"/>
          <w:right w:w="15" w:type="dxa"/>
        </w:tblCellMar>
      </w:tblPr>
      <w:tblGrid>
        <w:gridCol w:w="471"/>
        <w:gridCol w:w="775"/>
        <w:gridCol w:w="1043"/>
        <w:gridCol w:w="839"/>
        <w:gridCol w:w="827"/>
        <w:gridCol w:w="788"/>
        <w:gridCol w:w="776"/>
        <w:gridCol w:w="865"/>
        <w:gridCol w:w="801"/>
        <w:gridCol w:w="839"/>
        <w:gridCol w:w="776"/>
      </w:tblGrid>
      <w:tr>
        <w:tblPrEx>
          <w:tblCellMar>
            <w:top w:w="15" w:type="dxa"/>
            <w:left w:w="15" w:type="dxa"/>
            <w:bottom w:w="15" w:type="dxa"/>
            <w:right w:w="15" w:type="dxa"/>
          </w:tblCellMar>
        </w:tblPrEx>
        <w:trPr>
          <w:trHeight w:val="531" w:hRule="atLeast"/>
        </w:trPr>
        <w:tc>
          <w:tcPr>
            <w:tcW w:w="8800" w:type="dxa"/>
            <w:gridSpan w:val="11"/>
            <w:shd w:val="clear" w:color="auto" w:fill="auto"/>
            <w:vAlign w:val="center"/>
          </w:tcPr>
          <w:p>
            <w:pPr>
              <w:widowControl/>
              <w:jc w:val="center"/>
              <w:textAlignment w:val="center"/>
              <w:rPr>
                <w:rFonts w:ascii="Times New Roman" w:hAnsi="Times New Roman" w:eastAsia="方正小标宋_GBK" w:cs="方正小标宋_GBK"/>
                <w:b/>
                <w:color w:val="000000"/>
                <w:sz w:val="40"/>
                <w:szCs w:val="40"/>
              </w:rPr>
            </w:pPr>
            <w:r>
              <w:rPr>
                <w:rFonts w:hint="eastAsia" w:ascii="Times New Roman" w:hAnsi="Times New Roman" w:eastAsia="方正小标宋_GBK" w:cs="方正小标宋_GBK"/>
                <w:b/>
                <w:color w:val="000000"/>
                <w:kern w:val="0"/>
                <w:sz w:val="40"/>
                <w:szCs w:val="40"/>
              </w:rPr>
              <w:t>四川电子机械职业技术学院</w:t>
            </w:r>
          </w:p>
        </w:tc>
      </w:tr>
      <w:tr>
        <w:tblPrEx>
          <w:tblCellMar>
            <w:top w:w="15" w:type="dxa"/>
            <w:left w:w="15" w:type="dxa"/>
            <w:bottom w:w="15" w:type="dxa"/>
            <w:right w:w="15" w:type="dxa"/>
          </w:tblCellMar>
        </w:tblPrEx>
        <w:trPr>
          <w:trHeight w:val="531" w:hRule="atLeast"/>
        </w:trPr>
        <w:tc>
          <w:tcPr>
            <w:tcW w:w="8800" w:type="dxa"/>
            <w:gridSpan w:val="11"/>
            <w:shd w:val="clear" w:color="auto" w:fill="auto"/>
          </w:tcPr>
          <w:p>
            <w:pPr>
              <w:widowControl/>
              <w:jc w:val="center"/>
              <w:textAlignment w:val="top"/>
              <w:rPr>
                <w:rFonts w:ascii="Times New Roman" w:hAnsi="Times New Roman" w:eastAsia="方正小标宋_GBK" w:cs="方正小标宋_GBK"/>
                <w:b/>
                <w:color w:val="000000"/>
                <w:sz w:val="40"/>
                <w:szCs w:val="40"/>
              </w:rPr>
            </w:pPr>
            <w:r>
              <w:rPr>
                <w:rFonts w:hint="eastAsia" w:ascii="Times New Roman" w:hAnsi="Times New Roman" w:eastAsia="方正小标宋_GBK" w:cs="方正小标宋_GBK"/>
                <w:b/>
                <w:color w:val="000000"/>
                <w:kern w:val="0"/>
                <w:sz w:val="40"/>
                <w:szCs w:val="40"/>
              </w:rPr>
              <w:t>班级学生“第二课堂”成绩统计表</w:t>
            </w:r>
          </w:p>
        </w:tc>
      </w:tr>
      <w:tr>
        <w:tblPrEx>
          <w:tblCellMar>
            <w:top w:w="15" w:type="dxa"/>
            <w:left w:w="15" w:type="dxa"/>
            <w:bottom w:w="15" w:type="dxa"/>
            <w:right w:w="15" w:type="dxa"/>
          </w:tblCellMar>
        </w:tblPrEx>
        <w:trPr>
          <w:trHeight w:val="341" w:hRule="atLeast"/>
        </w:trPr>
        <w:tc>
          <w:tcPr>
            <w:tcW w:w="8800" w:type="dxa"/>
            <w:gridSpan w:val="11"/>
            <w:shd w:val="clear" w:color="auto" w:fill="auto"/>
          </w:tcPr>
          <w:p>
            <w:pPr>
              <w:widowControl/>
              <w:jc w:val="center"/>
              <w:textAlignment w:val="top"/>
              <w:rPr>
                <w:rFonts w:ascii="Times New Roman" w:hAnsi="Times New Roman"/>
                <w:color w:val="000000"/>
                <w:sz w:val="22"/>
                <w:szCs w:val="22"/>
              </w:rPr>
            </w:pPr>
            <w:r>
              <w:rPr>
                <w:rStyle w:val="11"/>
                <w:rFonts w:hint="default" w:ascii="Times New Roman" w:hAnsi="Times New Roman"/>
              </w:rPr>
              <w:t xml:space="preserve">           </w:t>
            </w:r>
            <w:r>
              <w:rPr>
                <w:rStyle w:val="12"/>
                <w:rFonts w:hint="default" w:ascii="Times New Roman" w:hAnsi="Times New Roman"/>
              </w:rPr>
              <w:t xml:space="preserve">系 </w:t>
            </w:r>
            <w:r>
              <w:rPr>
                <w:rStyle w:val="11"/>
                <w:rFonts w:hint="default" w:ascii="Times New Roman" w:hAnsi="Times New Roman"/>
              </w:rPr>
              <w:t xml:space="preserve">                </w:t>
            </w:r>
            <w:r>
              <w:rPr>
                <w:rStyle w:val="12"/>
                <w:rFonts w:hint="default" w:ascii="Times New Roman" w:hAnsi="Times New Roman"/>
              </w:rPr>
              <w:t>专业</w:t>
            </w:r>
            <w:r>
              <w:rPr>
                <w:rStyle w:val="11"/>
                <w:rFonts w:hint="default" w:ascii="Times New Roman" w:hAnsi="Times New Roman"/>
              </w:rPr>
              <w:t xml:space="preserve">            </w:t>
            </w:r>
            <w:r>
              <w:rPr>
                <w:rStyle w:val="12"/>
                <w:rFonts w:hint="default" w:ascii="Times New Roman" w:hAnsi="Times New Roman"/>
              </w:rPr>
              <w:t>级</w:t>
            </w:r>
            <w:r>
              <w:rPr>
                <w:rStyle w:val="11"/>
                <w:rFonts w:hint="default" w:ascii="Times New Roman" w:hAnsi="Times New Roman"/>
              </w:rPr>
              <w:t xml:space="preserve">               </w:t>
            </w:r>
            <w:r>
              <w:rPr>
                <w:rStyle w:val="12"/>
                <w:rFonts w:hint="default" w:ascii="Times New Roman" w:hAnsi="Times New Roman"/>
              </w:rPr>
              <w:t xml:space="preserve">班              </w:t>
            </w:r>
          </w:p>
        </w:tc>
      </w:tr>
      <w:tr>
        <w:tblPrEx>
          <w:tblCellMar>
            <w:top w:w="15" w:type="dxa"/>
            <w:left w:w="15" w:type="dxa"/>
            <w:bottom w:w="15" w:type="dxa"/>
            <w:right w:w="15" w:type="dxa"/>
          </w:tblCellMar>
        </w:tblPrEx>
        <w:trPr>
          <w:trHeight w:val="539"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序号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姓名</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学号</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思想政治</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实践实习志愿公益</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创新创业</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文艺体育</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社会工作</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技能培训</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各类奖项加分类</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所获学分</w:t>
            </w: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4</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6</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8</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14</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15</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16</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20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21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22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bl>
    <w:p>
      <w:pPr>
        <w:spacing w:line="56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辅导员：               班级评定小组组长：             制表人：</w:t>
      </w:r>
    </w:p>
    <w:p>
      <w:pPr>
        <w:spacing w:line="560" w:lineRule="exact"/>
        <w:rPr>
          <w:rFonts w:hint="eastAsia" w:ascii="Times New Roman" w:hAnsi="Times New Roman" w:eastAsia="方正仿宋_GBK" w:cs="方正仿宋_GBK"/>
          <w:sz w:val="28"/>
          <w:szCs w:val="28"/>
        </w:rPr>
      </w:pPr>
    </w:p>
    <w:p>
      <w:pPr>
        <w:spacing w:line="560" w:lineRule="exact"/>
        <w:rPr>
          <w:rFonts w:ascii="Times New Roman" w:hAnsi="Times New Roman" w:eastAsia="方正黑体_GBK" w:cs="方正黑体_GBK"/>
          <w:bCs/>
          <w:color w:val="000000"/>
          <w:kern w:val="0"/>
          <w:sz w:val="32"/>
          <w:szCs w:val="32"/>
        </w:rPr>
      </w:pPr>
      <w:r>
        <w:rPr>
          <w:rFonts w:hint="eastAsia" w:ascii="Times New Roman" w:hAnsi="Times New Roman" w:eastAsia="方正黑体_GBK" w:cs="方正黑体_GBK"/>
          <w:bCs/>
          <w:color w:val="000000"/>
          <w:kern w:val="0"/>
          <w:sz w:val="32"/>
          <w:szCs w:val="32"/>
        </w:rPr>
        <w:t>附件3</w:t>
      </w:r>
    </w:p>
    <w:tbl>
      <w:tblPr>
        <w:tblStyle w:val="7"/>
        <w:tblW w:w="8955" w:type="dxa"/>
        <w:tblInd w:w="0" w:type="dxa"/>
        <w:tblLayout w:type="fixed"/>
        <w:tblCellMar>
          <w:top w:w="15" w:type="dxa"/>
          <w:left w:w="15" w:type="dxa"/>
          <w:bottom w:w="15" w:type="dxa"/>
          <w:right w:w="15" w:type="dxa"/>
        </w:tblCellMar>
      </w:tblPr>
      <w:tblGrid>
        <w:gridCol w:w="441"/>
        <w:gridCol w:w="726"/>
        <w:gridCol w:w="977"/>
        <w:gridCol w:w="786"/>
        <w:gridCol w:w="775"/>
        <w:gridCol w:w="738"/>
        <w:gridCol w:w="727"/>
        <w:gridCol w:w="810"/>
        <w:gridCol w:w="750"/>
        <w:gridCol w:w="786"/>
        <w:gridCol w:w="727"/>
        <w:gridCol w:w="712"/>
      </w:tblGrid>
      <w:tr>
        <w:tblPrEx>
          <w:tblCellMar>
            <w:top w:w="15" w:type="dxa"/>
            <w:left w:w="15" w:type="dxa"/>
            <w:bottom w:w="15" w:type="dxa"/>
            <w:right w:w="15" w:type="dxa"/>
          </w:tblCellMar>
        </w:tblPrEx>
        <w:trPr>
          <w:trHeight w:val="531" w:hRule="atLeast"/>
        </w:trPr>
        <w:tc>
          <w:tcPr>
            <w:tcW w:w="8243" w:type="dxa"/>
            <w:gridSpan w:val="11"/>
            <w:shd w:val="clear" w:color="auto" w:fill="auto"/>
            <w:vAlign w:val="center"/>
          </w:tcPr>
          <w:p>
            <w:pPr>
              <w:widowControl/>
              <w:jc w:val="center"/>
              <w:textAlignment w:val="center"/>
              <w:rPr>
                <w:rFonts w:ascii="Times New Roman" w:hAnsi="Times New Roman" w:eastAsia="方正小标宋_GBK" w:cs="方正小标宋_GBK"/>
                <w:b/>
                <w:color w:val="000000"/>
                <w:sz w:val="40"/>
                <w:szCs w:val="40"/>
              </w:rPr>
            </w:pPr>
            <w:r>
              <w:rPr>
                <w:rFonts w:hint="eastAsia" w:ascii="Times New Roman" w:hAnsi="Times New Roman" w:eastAsia="方正小标宋_GBK" w:cs="方正小标宋_GBK"/>
                <w:b/>
                <w:color w:val="000000"/>
                <w:kern w:val="0"/>
                <w:sz w:val="40"/>
                <w:szCs w:val="40"/>
              </w:rPr>
              <w:t xml:space="preserve">   四川电子机械职业技术学院</w:t>
            </w:r>
          </w:p>
        </w:tc>
        <w:tc>
          <w:tcPr>
            <w:tcW w:w="712" w:type="dxa"/>
            <w:shd w:val="clear" w:color="auto" w:fill="auto"/>
            <w:vAlign w:val="center"/>
          </w:tcPr>
          <w:p>
            <w:pPr>
              <w:widowControl/>
              <w:jc w:val="center"/>
              <w:textAlignment w:val="center"/>
              <w:rPr>
                <w:rFonts w:ascii="Times New Roman" w:hAnsi="Times New Roman" w:eastAsia="方正小标宋_GBK" w:cs="方正小标宋_GBK"/>
                <w:b/>
                <w:color w:val="000000"/>
                <w:kern w:val="0"/>
                <w:sz w:val="40"/>
                <w:szCs w:val="40"/>
              </w:rPr>
            </w:pPr>
          </w:p>
        </w:tc>
      </w:tr>
      <w:tr>
        <w:tblPrEx>
          <w:tblCellMar>
            <w:top w:w="15" w:type="dxa"/>
            <w:left w:w="15" w:type="dxa"/>
            <w:bottom w:w="15" w:type="dxa"/>
            <w:right w:w="15" w:type="dxa"/>
          </w:tblCellMar>
        </w:tblPrEx>
        <w:trPr>
          <w:trHeight w:val="531" w:hRule="atLeast"/>
        </w:trPr>
        <w:tc>
          <w:tcPr>
            <w:tcW w:w="8243" w:type="dxa"/>
            <w:gridSpan w:val="11"/>
            <w:shd w:val="clear" w:color="auto" w:fill="auto"/>
          </w:tcPr>
          <w:p>
            <w:pPr>
              <w:widowControl/>
              <w:ind w:firstLine="402" w:firstLineChars="100"/>
              <w:textAlignment w:val="top"/>
              <w:rPr>
                <w:rFonts w:ascii="Times New Roman" w:hAnsi="Times New Roman" w:eastAsia="方正小标宋_GBK" w:cs="方正小标宋_GBK"/>
                <w:b/>
                <w:color w:val="000000"/>
                <w:sz w:val="40"/>
                <w:szCs w:val="40"/>
              </w:rPr>
            </w:pPr>
            <w:r>
              <w:rPr>
                <w:rFonts w:hint="eastAsia" w:ascii="Times New Roman" w:hAnsi="Times New Roman" w:eastAsia="方正小标宋_GBK" w:cs="方正小标宋_GBK"/>
                <w:b/>
                <w:color w:val="000000"/>
                <w:kern w:val="0"/>
                <w:sz w:val="40"/>
                <w:szCs w:val="40"/>
                <w:u w:val="single"/>
              </w:rPr>
              <w:t xml:space="preserve">          </w:t>
            </w:r>
            <w:r>
              <w:rPr>
                <w:rFonts w:hint="eastAsia" w:ascii="Times New Roman" w:hAnsi="Times New Roman" w:eastAsia="方正小标宋_GBK" w:cs="方正小标宋_GBK"/>
                <w:b/>
                <w:color w:val="000000"/>
                <w:kern w:val="0"/>
                <w:sz w:val="40"/>
                <w:szCs w:val="40"/>
              </w:rPr>
              <w:t>系部“第二课堂”成绩统计表</w:t>
            </w:r>
            <w:r>
              <w:rPr>
                <w:rFonts w:hint="eastAsia" w:ascii="Times New Roman" w:hAnsi="Times New Roman" w:eastAsia="方正小标宋_GBK" w:cs="方正小标宋_GBK"/>
                <w:b/>
                <w:color w:val="000000"/>
                <w:kern w:val="0"/>
                <w:sz w:val="40"/>
                <w:szCs w:val="40"/>
              </w:rPr>
              <w:br w:type="textWrapping"/>
            </w:r>
          </w:p>
        </w:tc>
        <w:tc>
          <w:tcPr>
            <w:tcW w:w="712" w:type="dxa"/>
            <w:shd w:val="clear" w:color="auto" w:fill="auto"/>
          </w:tcPr>
          <w:p>
            <w:pPr>
              <w:widowControl/>
              <w:jc w:val="center"/>
              <w:textAlignment w:val="top"/>
              <w:rPr>
                <w:rFonts w:ascii="Times New Roman" w:hAnsi="Times New Roman" w:eastAsia="方正小标宋_GBK" w:cs="方正小标宋_GBK"/>
                <w:b/>
                <w:color w:val="000000"/>
                <w:kern w:val="0"/>
                <w:sz w:val="40"/>
                <w:szCs w:val="40"/>
                <w:u w:val="single"/>
              </w:rPr>
            </w:pPr>
          </w:p>
        </w:tc>
      </w:tr>
      <w:tr>
        <w:tblPrEx>
          <w:tblCellMar>
            <w:top w:w="15" w:type="dxa"/>
            <w:left w:w="15" w:type="dxa"/>
            <w:bottom w:w="15" w:type="dxa"/>
            <w:right w:w="15" w:type="dxa"/>
          </w:tblCellMar>
        </w:tblPrEx>
        <w:trPr>
          <w:trHeight w:val="539"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序号</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sz w:val="20"/>
                <w:szCs w:val="20"/>
              </w:rPr>
              <w:t>班级</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姓名</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学号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思想政治</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实践实习志愿公益</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创新创业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文艺体育</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社会工作</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技能培训</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sz w:val="20"/>
                <w:szCs w:val="20"/>
              </w:rPr>
            </w:pPr>
            <w:r>
              <w:rPr>
                <w:rFonts w:hint="eastAsia" w:ascii="Times New Roman" w:hAnsi="Times New Roman"/>
                <w:b/>
                <w:color w:val="000000"/>
                <w:kern w:val="0"/>
                <w:sz w:val="20"/>
                <w:szCs w:val="20"/>
              </w:rPr>
              <w:t>各类奖项加分类</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b/>
                <w:color w:val="000000"/>
                <w:kern w:val="0"/>
                <w:sz w:val="20"/>
                <w:szCs w:val="20"/>
              </w:rPr>
            </w:pPr>
            <w:r>
              <w:rPr>
                <w:rFonts w:hint="eastAsia" w:ascii="Times New Roman" w:hAnsi="Times New Roman"/>
                <w:b/>
                <w:color w:val="000000"/>
                <w:kern w:val="0"/>
                <w:sz w:val="20"/>
                <w:szCs w:val="20"/>
              </w:rPr>
              <w:t>所获学分</w:t>
            </w: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sz w:val="24"/>
              </w:rPr>
            </w:pPr>
            <w:r>
              <w:rPr>
                <w:rFonts w:hint="eastAsia" w:ascii="Times New Roman" w:hAnsi="Times New Roman"/>
                <w:color w:val="000000"/>
                <w:kern w:val="0"/>
                <w:sz w:val="24"/>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6</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7</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7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9</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14</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16</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17</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18</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19</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r>
              <w:rPr>
                <w:rFonts w:hint="eastAsia" w:ascii="Times New Roman" w:hAnsi="Times New Roman"/>
                <w:color w:val="000000"/>
                <w:kern w:val="0"/>
                <w:sz w:val="24"/>
              </w:rPr>
              <w:t>21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r>
        <w:tblPrEx>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olor w:val="000000"/>
                <w:kern w:val="0"/>
                <w:sz w:val="24"/>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000000"/>
                <w:sz w:val="24"/>
              </w:rPr>
            </w:pPr>
          </w:p>
        </w:tc>
      </w:tr>
    </w:tbl>
    <w:p>
      <w:pPr>
        <w:spacing w:line="560" w:lineRule="exact"/>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党支部书记：           系部评定小组组长：          制表人：</w:t>
      </w:r>
    </w:p>
    <w:sectPr>
      <w:footerReference r:id="rId3" w:type="default"/>
      <w:pgSz w:w="11906" w:h="16838"/>
      <w:pgMar w:top="2098" w:right="1474" w:bottom="1701"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5E09AC3-A71C-42A7-AE2B-950BC636A6D4}"/>
  </w:font>
  <w:font w:name="Arial">
    <w:panose1 w:val="020B0604020202020204"/>
    <w:charset w:val="01"/>
    <w:family w:val="swiss"/>
    <w:pitch w:val="default"/>
    <w:sig w:usb0="E0002EFF" w:usb1="C000785B" w:usb2="00000009" w:usb3="00000000" w:csb0="400001FF" w:csb1="FFFF0000"/>
    <w:embedRegular r:id="rId2" w:fontKey="{C98B004F-DE28-49E4-A173-AF9258FB391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34DA9D73-D172-4CEF-A9EA-82D771D853D1}"/>
  </w:font>
  <w:font w:name="Symbol">
    <w:panose1 w:val="05050102010706020507"/>
    <w:charset w:val="02"/>
    <w:family w:val="roman"/>
    <w:pitch w:val="default"/>
    <w:sig w:usb0="00000000" w:usb1="00000000" w:usb2="00000000" w:usb3="00000000" w:csb0="80000000" w:csb1="00000000"/>
    <w:embedRegular r:id="rId4" w:fontKey="{EA904913-0C7C-4813-8CF2-A23D4A71CA95}"/>
  </w:font>
  <w:font w:name="Calibri">
    <w:panose1 w:val="020F0502020204030204"/>
    <w:charset w:val="00"/>
    <w:family w:val="swiss"/>
    <w:pitch w:val="default"/>
    <w:sig w:usb0="E4002EFF" w:usb1="C000247B" w:usb2="00000009" w:usb3="00000000" w:csb0="200001FF" w:csb1="00000000"/>
    <w:embedRegular r:id="rId5" w:fontKey="{7046C620-A2B8-4D9C-B53E-D9C41C454F83}"/>
  </w:font>
  <w:font w:name="方正仿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6" w:fontKey="{762E16FB-68F3-426A-A190-7BD5F727A57B}"/>
  </w:font>
  <w:font w:name="方正仿宋_GBK">
    <w:panose1 w:val="03000509000000000000"/>
    <w:charset w:val="86"/>
    <w:family w:val="script"/>
    <w:pitch w:val="default"/>
    <w:sig w:usb0="00000001" w:usb1="080E0000" w:usb2="00000000" w:usb3="00000000" w:csb0="00040000" w:csb1="00000000"/>
    <w:embedRegular r:id="rId7" w:fontKey="{34EFB8DC-DB95-4160-BD25-A9BE61F560C7}"/>
  </w:font>
  <w:font w:name="方正黑体_GBK">
    <w:panose1 w:val="03000509000000000000"/>
    <w:charset w:val="86"/>
    <w:family w:val="script"/>
    <w:pitch w:val="default"/>
    <w:sig w:usb0="00000001" w:usb1="080E0000" w:usb2="00000000" w:usb3="00000000" w:csb0="00040000" w:csb1="00000000"/>
    <w:embedRegular r:id="rId8" w:fontKey="{FFF29FAA-7BC0-4223-BF72-4BEBF78DDB64}"/>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- 5 -</w:t>
                          </w:r>
                          <w:r>
                            <w:rPr>
                              <w:rFonts w:hint="eastAsia" w:ascii="方正仿宋_GBK" w:hAnsi="方正仿宋_GBK" w:eastAsia="方正仿宋_GBK" w:cs="方正仿宋_GBK"/>
                              <w:sz w:val="28"/>
                              <w:szCs w:val="28"/>
                            </w:rP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G7Y9/3KAQAAkgMAAA4AAAAAAAAAAQAgAAAAHwEAAGRycy9lMm9E&#10;b2MueG1sUEsFBgAAAAAGAAYAWQEAAFsFAAAAAA==&#10;">
              <v:fill on="f" focussize="0,0"/>
              <v:stroke on="f"/>
              <v:imagedata o:title=""/>
              <o:lock v:ext="edit" aspectratio="f"/>
              <v:textbox inset="0mm,0mm,0mm,0mm" style="mso-fit-shape-to-text:t;">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- 5 -</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76"/>
    <w:rsid w:val="000F09B6"/>
    <w:rsid w:val="001F6904"/>
    <w:rsid w:val="00261AF0"/>
    <w:rsid w:val="00270713"/>
    <w:rsid w:val="002B727F"/>
    <w:rsid w:val="004738CF"/>
    <w:rsid w:val="006070CD"/>
    <w:rsid w:val="00702A76"/>
    <w:rsid w:val="00B2719A"/>
    <w:rsid w:val="00BE6D60"/>
    <w:rsid w:val="00CB0DD1"/>
    <w:rsid w:val="00D4171D"/>
    <w:rsid w:val="00E3023B"/>
    <w:rsid w:val="00E94700"/>
    <w:rsid w:val="05C95EC6"/>
    <w:rsid w:val="0B26466A"/>
    <w:rsid w:val="15900B9F"/>
    <w:rsid w:val="1AAC4A31"/>
    <w:rsid w:val="1B19213A"/>
    <w:rsid w:val="231D7238"/>
    <w:rsid w:val="234F0A24"/>
    <w:rsid w:val="25DC484F"/>
    <w:rsid w:val="2B5D2886"/>
    <w:rsid w:val="2BCC0679"/>
    <w:rsid w:val="2BF376B0"/>
    <w:rsid w:val="2E113FB0"/>
    <w:rsid w:val="2FB37BFC"/>
    <w:rsid w:val="34CF15C1"/>
    <w:rsid w:val="36756CD3"/>
    <w:rsid w:val="3B9C2D79"/>
    <w:rsid w:val="486D09E5"/>
    <w:rsid w:val="547954AF"/>
    <w:rsid w:val="5C2C71DE"/>
    <w:rsid w:val="5E6C2D91"/>
    <w:rsid w:val="647E5685"/>
    <w:rsid w:val="66D36C64"/>
    <w:rsid w:val="681A0DAC"/>
    <w:rsid w:val="6A5E33E5"/>
    <w:rsid w:val="71E82F50"/>
    <w:rsid w:val="7218743E"/>
    <w:rsid w:val="74E811A9"/>
    <w:rsid w:val="7FE63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cs="Times New Roman"/>
    </w:rPr>
  </w:style>
  <w:style w:type="paragraph" w:styleId="3">
    <w:name w:val="Date"/>
    <w:basedOn w:val="1"/>
    <w:next w:val="1"/>
    <w:link w:val="10"/>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ascii="Times New Roman" w:hAnsi="Times New Roman"/>
      <w:kern w:val="0"/>
      <w:sz w:val="24"/>
      <w:szCs w:val="20"/>
    </w:rPr>
  </w:style>
  <w:style w:type="character" w:styleId="9">
    <w:name w:val="Hyperlink"/>
    <w:basedOn w:val="8"/>
    <w:qFormat/>
    <w:uiPriority w:val="0"/>
    <w:rPr>
      <w:color w:val="0000FF"/>
      <w:u w:val="single"/>
    </w:rPr>
  </w:style>
  <w:style w:type="character" w:customStyle="1" w:styleId="10">
    <w:name w:val="日期 Char"/>
    <w:basedOn w:val="8"/>
    <w:link w:val="3"/>
    <w:qFormat/>
    <w:uiPriority w:val="0"/>
    <w:rPr>
      <w:kern w:val="2"/>
      <w:sz w:val="21"/>
      <w:szCs w:val="24"/>
    </w:rPr>
  </w:style>
  <w:style w:type="character" w:customStyle="1" w:styleId="11">
    <w:name w:val="font41"/>
    <w:basedOn w:val="8"/>
    <w:qFormat/>
    <w:uiPriority w:val="0"/>
    <w:rPr>
      <w:rFonts w:hint="eastAsia" w:ascii="宋体" w:hAnsi="宋体" w:eastAsia="宋体" w:cs="宋体"/>
      <w:color w:val="000000"/>
      <w:sz w:val="22"/>
      <w:szCs w:val="22"/>
      <w:u w:val="single"/>
    </w:rPr>
  </w:style>
  <w:style w:type="character" w:customStyle="1" w:styleId="12">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6662</Words>
  <Characters>7114</Characters>
  <Lines>57</Lines>
  <Paragraphs>16</Paragraphs>
  <TotalTime>38</TotalTime>
  <ScaleCrop>false</ScaleCrop>
  <LinksUpToDate>false</LinksUpToDate>
  <CharactersWithSpaces>7302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2018-03-14T01:25:00Z</dcterms:created>
  <dc:creator>蓝色枫叶1418559973</dc:creator>
  <cp:lastModifiedBy>堂老太</cp:lastModifiedBy>
  <cp:lastPrinted>2022-01-14T08:01:00Z</cp:lastPrinted>
  <dcterms:modified xsi:type="dcterms:W3CDTF">2022-04-08T01:22:25Z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329295573_cloud</vt:lpwstr>
  </property>
  <property fmtid="{D5CDD505-2E9C-101B-9397-08002B2CF9AE}" pid="4" name="ICV">
    <vt:lpwstr>F77CFF59C33440AEA5FE3F4C3C9D6922</vt:lpwstr>
  </property>
</Properties>
</file>